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2023年高等学校产业支撑计划拟立项项目</w:t>
      </w:r>
    </w:p>
    <w:bookmarkEnd w:id="0"/>
    <w:p>
      <w:pPr>
        <w:tabs>
          <w:tab w:val="left" w:pos="1464"/>
        </w:tabs>
        <w:jc w:val="left"/>
      </w:pPr>
    </w:p>
    <w:tbl>
      <w:tblPr>
        <w:tblStyle w:val="2"/>
        <w:tblW w:w="12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389"/>
        <w:gridCol w:w="914"/>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1" w:type="dxa"/>
            <w:shd w:val="clear" w:color="auto" w:fill="auto"/>
            <w:vAlign w:val="center"/>
          </w:tcPr>
          <w:p>
            <w:pPr>
              <w:widowControl/>
              <w:spacing w:line="320" w:lineRule="exact"/>
              <w:jc w:val="center"/>
              <w:rPr>
                <w:rFonts w:ascii="仿宋_GB2312" w:hAnsi="黑体" w:eastAsia="仿宋_GB2312" w:cs="宋体"/>
                <w:b/>
                <w:bCs/>
                <w:kern w:val="0"/>
                <w:szCs w:val="21"/>
              </w:rPr>
            </w:pPr>
            <w:r>
              <w:rPr>
                <w:rFonts w:hint="eastAsia" w:ascii="仿宋_GB2312" w:hAnsi="黑体" w:eastAsia="仿宋_GB2312" w:cs="宋体"/>
                <w:b/>
                <w:bCs/>
                <w:kern w:val="0"/>
                <w:szCs w:val="21"/>
              </w:rPr>
              <w:t>序号</w:t>
            </w:r>
          </w:p>
        </w:tc>
        <w:tc>
          <w:tcPr>
            <w:tcW w:w="8389" w:type="dxa"/>
            <w:shd w:val="clear" w:color="auto" w:fill="auto"/>
            <w:vAlign w:val="center"/>
          </w:tcPr>
          <w:p>
            <w:pPr>
              <w:widowControl/>
              <w:spacing w:line="320" w:lineRule="exact"/>
              <w:jc w:val="center"/>
              <w:rPr>
                <w:rFonts w:ascii="仿宋_GB2312" w:hAnsi="黑体" w:eastAsia="仿宋_GB2312" w:cs="宋体"/>
                <w:b/>
                <w:bCs/>
                <w:kern w:val="0"/>
                <w:szCs w:val="21"/>
              </w:rPr>
            </w:pPr>
            <w:r>
              <w:rPr>
                <w:rFonts w:hint="eastAsia" w:ascii="仿宋_GB2312" w:hAnsi="黑体" w:eastAsia="仿宋_GB2312" w:cs="宋体"/>
                <w:b/>
                <w:bCs/>
                <w:kern w:val="0"/>
                <w:szCs w:val="21"/>
              </w:rPr>
              <w:t>项目名称</w:t>
            </w:r>
          </w:p>
        </w:tc>
        <w:tc>
          <w:tcPr>
            <w:tcW w:w="914" w:type="dxa"/>
            <w:shd w:val="clear" w:color="auto" w:fill="auto"/>
            <w:vAlign w:val="center"/>
          </w:tcPr>
          <w:p>
            <w:pPr>
              <w:widowControl/>
              <w:spacing w:line="320" w:lineRule="exact"/>
              <w:jc w:val="center"/>
              <w:rPr>
                <w:rFonts w:ascii="仿宋_GB2312" w:hAnsi="黑体" w:eastAsia="仿宋_GB2312" w:cs="宋体"/>
                <w:b/>
                <w:bCs/>
                <w:kern w:val="0"/>
                <w:szCs w:val="21"/>
              </w:rPr>
            </w:pPr>
            <w:r>
              <w:rPr>
                <w:rFonts w:hint="eastAsia" w:ascii="仿宋_GB2312" w:hAnsi="黑体" w:eastAsia="仿宋_GB2312" w:cs="宋体"/>
                <w:b/>
                <w:bCs/>
                <w:kern w:val="0"/>
                <w:szCs w:val="21"/>
              </w:rPr>
              <w:t>负责人</w:t>
            </w:r>
          </w:p>
        </w:tc>
        <w:tc>
          <w:tcPr>
            <w:tcW w:w="2605" w:type="dxa"/>
            <w:shd w:val="clear" w:color="auto" w:fill="auto"/>
            <w:vAlign w:val="center"/>
          </w:tcPr>
          <w:p>
            <w:pPr>
              <w:widowControl/>
              <w:spacing w:line="320" w:lineRule="exact"/>
              <w:jc w:val="center"/>
              <w:rPr>
                <w:rFonts w:ascii="仿宋_GB2312" w:hAnsi="黑体" w:eastAsia="仿宋_GB2312" w:cs="宋体"/>
                <w:b/>
                <w:bCs/>
                <w:kern w:val="0"/>
                <w:szCs w:val="21"/>
              </w:rPr>
            </w:pPr>
            <w:r>
              <w:rPr>
                <w:rFonts w:hint="eastAsia" w:ascii="仿宋_GB2312" w:hAnsi="黑体" w:eastAsia="仿宋_GB2312" w:cs="宋体"/>
                <w:b/>
                <w:bCs/>
                <w:kern w:val="0"/>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1</w:t>
            </w:r>
          </w:p>
        </w:tc>
        <w:tc>
          <w:tcPr>
            <w:tcW w:w="8389"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基于“5G+智慧教育”促进高质量教育均衡发展的创新试点</w:t>
            </w:r>
          </w:p>
        </w:tc>
        <w:tc>
          <w:tcPr>
            <w:tcW w:w="914"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李  廉</w:t>
            </w:r>
          </w:p>
        </w:tc>
        <w:tc>
          <w:tcPr>
            <w:tcW w:w="2605"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兰州大学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2</w:t>
            </w:r>
          </w:p>
        </w:tc>
        <w:tc>
          <w:tcPr>
            <w:tcW w:w="8389" w:type="dxa"/>
            <w:shd w:val="clear" w:color="auto" w:fill="auto"/>
            <w:vAlign w:val="center"/>
          </w:tcPr>
          <w:p>
            <w:pPr>
              <w:widowControl/>
              <w:spacing w:line="320" w:lineRule="exact"/>
              <w:jc w:val="center"/>
              <w:rPr>
                <w:rFonts w:ascii="仿宋_GB2312" w:eastAsia="仿宋_GB2312"/>
                <w:spacing w:val="-4"/>
                <w:szCs w:val="21"/>
              </w:rPr>
            </w:pPr>
            <w:r>
              <w:rPr>
                <w:rFonts w:hint="eastAsia" w:ascii="仿宋_GB2312" w:eastAsia="仿宋_GB2312"/>
                <w:spacing w:val="-4"/>
                <w:szCs w:val="21"/>
              </w:rPr>
              <w:t>缺氧诱导ADSCs外泌体HIF-1α/Hsp70表达上调在糖尿病创面愈合中作用和机制研究</w:t>
            </w:r>
          </w:p>
        </w:tc>
        <w:tc>
          <w:tcPr>
            <w:tcW w:w="914"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刘  毅</w:t>
            </w:r>
          </w:p>
        </w:tc>
        <w:tc>
          <w:tcPr>
            <w:tcW w:w="2605"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兰州大学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3</w:t>
            </w:r>
          </w:p>
        </w:tc>
        <w:tc>
          <w:tcPr>
            <w:tcW w:w="8389" w:type="dxa"/>
            <w:shd w:val="clear" w:color="auto" w:fill="auto"/>
            <w:vAlign w:val="center"/>
          </w:tcPr>
          <w:p>
            <w:pPr>
              <w:widowControl/>
              <w:spacing w:line="320" w:lineRule="exact"/>
              <w:jc w:val="center"/>
              <w:rPr>
                <w:rFonts w:ascii="仿宋_GB2312" w:hAnsi="黑体" w:eastAsia="仿宋_GB2312" w:cs="宋体"/>
                <w:spacing w:val="-4"/>
                <w:kern w:val="0"/>
                <w:szCs w:val="21"/>
              </w:rPr>
            </w:pPr>
            <w:r>
              <w:rPr>
                <w:rFonts w:hint="eastAsia" w:ascii="仿宋_GB2312" w:eastAsia="仿宋_GB2312"/>
                <w:spacing w:val="-4"/>
                <w:szCs w:val="21"/>
              </w:rPr>
              <w:t>miR-27a-3p经wnt/β-catenin信号通路靶向FBXW7调控骨肉瘤细胞的作用机制研究</w:t>
            </w:r>
          </w:p>
        </w:tc>
        <w:tc>
          <w:tcPr>
            <w:tcW w:w="914"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王勇平</w:t>
            </w:r>
          </w:p>
        </w:tc>
        <w:tc>
          <w:tcPr>
            <w:tcW w:w="2605"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兰州大学第一医院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4</w:t>
            </w:r>
          </w:p>
        </w:tc>
        <w:tc>
          <w:tcPr>
            <w:tcW w:w="8389"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单细胞水平解析VA ECMO减轻心肌梗死后免疫炎症反应的机制研究</w:t>
            </w:r>
          </w:p>
        </w:tc>
        <w:tc>
          <w:tcPr>
            <w:tcW w:w="914"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吴向阳</w:t>
            </w:r>
          </w:p>
        </w:tc>
        <w:tc>
          <w:tcPr>
            <w:tcW w:w="2605"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兰州大学第二医院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5</w:t>
            </w:r>
          </w:p>
        </w:tc>
        <w:tc>
          <w:tcPr>
            <w:tcW w:w="8389"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基于TLR4-NF-κB/MAPK交联通路探讨大黄提取物调控巨噬细胞极化逆转全身炎症反应综合征的药效物质基础和机制研究</w:t>
            </w:r>
          </w:p>
        </w:tc>
        <w:tc>
          <w:tcPr>
            <w:tcW w:w="914"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张有成</w:t>
            </w:r>
          </w:p>
        </w:tc>
        <w:tc>
          <w:tcPr>
            <w:tcW w:w="2605"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兰州大学第二医院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6</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“健康甘肃”建设中公共卫生人才培养与学科发展研究</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胡晓斌</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7</w:t>
            </w:r>
          </w:p>
        </w:tc>
        <w:tc>
          <w:tcPr>
            <w:tcW w:w="8389"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利用屠宰废弃牛血制备含氨基酸水溶肥关键技术研究</w:t>
            </w:r>
          </w:p>
        </w:tc>
        <w:tc>
          <w:tcPr>
            <w:tcW w:w="914"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马忠仁</w:t>
            </w:r>
          </w:p>
        </w:tc>
        <w:tc>
          <w:tcPr>
            <w:tcW w:w="2605"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西北民族大学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8</w:t>
            </w:r>
          </w:p>
        </w:tc>
        <w:tc>
          <w:tcPr>
            <w:tcW w:w="8389"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智能信息处理在兰州大尾羊遗传资源保护与提质增效关键技术中的集成应用</w:t>
            </w:r>
          </w:p>
        </w:tc>
        <w:tc>
          <w:tcPr>
            <w:tcW w:w="914"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杨具田</w:t>
            </w:r>
          </w:p>
        </w:tc>
        <w:tc>
          <w:tcPr>
            <w:tcW w:w="2605"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西北民族大学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9</w:t>
            </w:r>
          </w:p>
        </w:tc>
        <w:tc>
          <w:tcPr>
            <w:tcW w:w="8389"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东数西算背景下基于区块链的数据安全与隐私保护关键技术研究及应用</w:t>
            </w:r>
          </w:p>
        </w:tc>
        <w:tc>
          <w:tcPr>
            <w:tcW w:w="914"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杨小东</w:t>
            </w:r>
          </w:p>
        </w:tc>
        <w:tc>
          <w:tcPr>
            <w:tcW w:w="2605"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10</w:t>
            </w:r>
          </w:p>
        </w:tc>
        <w:tc>
          <w:tcPr>
            <w:tcW w:w="8389"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兰州百合种球活力表型分析平台构建与应用示范</w:t>
            </w:r>
          </w:p>
        </w:tc>
        <w:tc>
          <w:tcPr>
            <w:tcW w:w="914"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丁永军</w:t>
            </w:r>
          </w:p>
        </w:tc>
        <w:tc>
          <w:tcPr>
            <w:tcW w:w="2605"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11</w:t>
            </w:r>
          </w:p>
        </w:tc>
        <w:tc>
          <w:tcPr>
            <w:tcW w:w="8389"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基于国产遥感技术黄河上游流域的生态脆弱性评估实践</w:t>
            </w:r>
          </w:p>
        </w:tc>
        <w:tc>
          <w:tcPr>
            <w:tcW w:w="914"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王圣伟</w:t>
            </w:r>
          </w:p>
        </w:tc>
        <w:tc>
          <w:tcPr>
            <w:tcW w:w="2605"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12</w:t>
            </w:r>
          </w:p>
        </w:tc>
        <w:tc>
          <w:tcPr>
            <w:tcW w:w="8389"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三嗪基有机框架功能材料在氢能源转化及存储关键技术研究</w:t>
            </w:r>
          </w:p>
        </w:tc>
        <w:tc>
          <w:tcPr>
            <w:tcW w:w="914"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莫尊理</w:t>
            </w:r>
          </w:p>
        </w:tc>
        <w:tc>
          <w:tcPr>
            <w:tcW w:w="2605"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13</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兰州百合种质创新和产业提升共性关键技术集成与应用</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张  继</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14</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作物炭球处理半干旱区再生水-土壤-植物体系重金属污染关键技术及示范应用研究</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曹  春</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15</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科技赋能河西走廊国际文化旅游廊道构建研究</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把多勋</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16</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高效低能耗二氧化碳捕集膜的研制及应用</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李  健</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17</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固坡保塬关键材料及组合技术研发与示范</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雷自强</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18</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非均相催化过氧乙酸绿色合成及固态缓释杀菌剂开发</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 xml:space="preserve">常  </w:t>
            </w:r>
            <w:r>
              <w:rPr>
                <w:rFonts w:hint="eastAsia" w:ascii="宋体" w:hAnsi="宋体" w:eastAsia="宋体" w:cs="宋体"/>
                <w:szCs w:val="21"/>
              </w:rPr>
              <w:t>玥</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19</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黄花菜干制转色关键技术研发与晴雨两用干制棚示范应用</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张登红</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20</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基于甘肃省资源植物的家畜可饲疫苗技术研究及其应用</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冯汉青</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21</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黄河上游流域高寒草甸生态系统固碳增汇关键技术研究与示范</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刘</w:t>
            </w:r>
            <w:r>
              <w:rPr>
                <w:rFonts w:hint="eastAsia" w:ascii="宋体" w:hAnsi="宋体" w:eastAsia="宋体" w:cs="宋体"/>
                <w:szCs w:val="21"/>
              </w:rPr>
              <w:t>旻</w:t>
            </w:r>
            <w:r>
              <w:rPr>
                <w:rFonts w:hint="eastAsia" w:ascii="仿宋_GB2312" w:hAnsi="仿宋_GB2312" w:eastAsia="仿宋_GB2312" w:cs="仿宋_GB2312"/>
                <w:szCs w:val="21"/>
              </w:rPr>
              <w:t>霞</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22</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钢管内壁电爆喷射沉积制备防腐层的技术研发</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朱  亮</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23</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羊肚菌液体菌种种植关键技术研发与工厂化生产示范</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任海伟</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24</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石油化工在线气相色谱分析仪与分析平台研发</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赵小强</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25</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甘肃有色冶金工业大数据分析研究及产业服务平台应用示范</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卢鹏丽</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26</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平行系统下的人机共融智能拖拉机研发与产业化</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李  策</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27</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氮化硅/MBene复相电极材料的性能调控及关键技术研究</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卢学峰</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28</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激光增材制造镍基高温合金设计与成形控性关键技术</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丁雨田</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29</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航天航空用高性能纳米粉体规模化制备技术及其产业化示范</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喇培清</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30</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基于黏土矿物的复合太阳能界面蒸发系统的构建及工业废水处理研究</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孔秀琴</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31</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甘肃高校实验室安全系统工程研究与信息化平台构建</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崔锦峰</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eastAsia="仿宋_GB2312"/>
                <w:bCs/>
                <w:szCs w:val="21"/>
              </w:rPr>
            </w:pPr>
            <w:r>
              <w:rPr>
                <w:rFonts w:hint="eastAsia" w:ascii="仿宋_GB2312" w:eastAsia="仿宋_GB2312"/>
                <w:bCs/>
                <w:szCs w:val="21"/>
              </w:rPr>
              <w:t>32</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轨道交通信号设施设备智能运维关键技术研究与应用示范</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陈光武</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eastAsia="仿宋_GB2312"/>
                <w:bCs/>
                <w:szCs w:val="21"/>
              </w:rPr>
            </w:pPr>
            <w:r>
              <w:rPr>
                <w:rFonts w:hint="eastAsia" w:ascii="仿宋_GB2312" w:eastAsia="仿宋_GB2312"/>
                <w:bCs/>
                <w:szCs w:val="21"/>
              </w:rPr>
              <w:t>33</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电动汽车车载 V2G 双向充电系统研发与应用</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董海鹰</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eastAsia="仿宋_GB2312"/>
                <w:bCs/>
                <w:szCs w:val="21"/>
              </w:rPr>
            </w:pPr>
            <w:r>
              <w:rPr>
                <w:rFonts w:hint="eastAsia" w:ascii="仿宋_GB2312" w:eastAsia="仿宋_GB2312"/>
                <w:bCs/>
                <w:szCs w:val="21"/>
              </w:rPr>
              <w:t>34</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深厚黄土场地蒸汽增湿高效地基处理成套技术研发</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王  旭</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eastAsia="仿宋_GB2312"/>
                <w:bCs/>
                <w:szCs w:val="21"/>
              </w:rPr>
            </w:pPr>
            <w:r>
              <w:rPr>
                <w:rFonts w:hint="eastAsia" w:ascii="仿宋_GB2312" w:eastAsia="仿宋_GB2312"/>
                <w:bCs/>
                <w:szCs w:val="21"/>
              </w:rPr>
              <w:t>35</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基于高比例新能源消纳的电动汽车时代电网-交通网融合协同优化策略</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汤</w:t>
            </w:r>
            <w:r>
              <w:rPr>
                <w:rFonts w:hint="eastAsia" w:ascii="宋体" w:hAnsi="宋体" w:eastAsia="宋体" w:cs="宋体"/>
                <w:szCs w:val="21"/>
              </w:rPr>
              <w:t>旻</w:t>
            </w:r>
            <w:r>
              <w:rPr>
                <w:rFonts w:hint="eastAsia" w:ascii="仿宋_GB2312" w:hAnsi="仿宋_GB2312" w:eastAsia="仿宋_GB2312" w:cs="仿宋_GB2312"/>
                <w:szCs w:val="21"/>
              </w:rPr>
              <w:t>安</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eastAsia="仿宋_GB2312"/>
                <w:bCs/>
                <w:szCs w:val="21"/>
              </w:rPr>
            </w:pPr>
            <w:r>
              <w:rPr>
                <w:rFonts w:hint="eastAsia" w:ascii="仿宋_GB2312" w:eastAsia="仿宋_GB2312"/>
                <w:bCs/>
                <w:szCs w:val="21"/>
              </w:rPr>
              <w:t>36</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西北寒旱地区农村改厕关键技术及管护机制研究</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张洪伟</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eastAsia="仿宋_GB2312"/>
                <w:bCs/>
                <w:szCs w:val="21"/>
              </w:rPr>
            </w:pPr>
            <w:r>
              <w:rPr>
                <w:rFonts w:hint="eastAsia" w:ascii="仿宋_GB2312" w:eastAsia="仿宋_GB2312"/>
                <w:bCs/>
                <w:szCs w:val="21"/>
              </w:rPr>
              <w:t>37</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一种使用流线型翅片的高效节能型省煤器研究</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林志敏</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eastAsia="仿宋_GB2312"/>
                <w:bCs/>
                <w:szCs w:val="21"/>
              </w:rPr>
            </w:pPr>
            <w:r>
              <w:rPr>
                <w:rFonts w:hint="eastAsia" w:ascii="仿宋_GB2312" w:eastAsia="仿宋_GB2312"/>
                <w:bCs/>
                <w:szCs w:val="21"/>
              </w:rPr>
              <w:t>38</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涡产生器式板翅式换热器多参数优化设计及加工新工艺开发</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王  烨</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eastAsia="仿宋_GB2312"/>
                <w:bCs/>
                <w:szCs w:val="21"/>
              </w:rPr>
            </w:pPr>
            <w:r>
              <w:rPr>
                <w:rFonts w:hint="eastAsia" w:ascii="仿宋_GB2312" w:eastAsia="仿宋_GB2312"/>
                <w:bCs/>
                <w:szCs w:val="21"/>
              </w:rPr>
              <w:t>39</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电动汽车动态无线充电系统关键技术研究与应用</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李若琼</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eastAsia="仿宋_GB2312"/>
                <w:bCs/>
                <w:szCs w:val="21"/>
              </w:rPr>
            </w:pPr>
            <w:r>
              <w:rPr>
                <w:rFonts w:hint="eastAsia" w:ascii="仿宋_GB2312" w:eastAsia="仿宋_GB2312"/>
                <w:bCs/>
                <w:szCs w:val="21"/>
              </w:rPr>
              <w:t>40</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低剂量同位素工业物联网在线密度检测系统研制与产业化</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王小鹏</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eastAsia="仿宋_GB2312"/>
                <w:bCs/>
                <w:szCs w:val="21"/>
              </w:rPr>
            </w:pPr>
            <w:r>
              <w:rPr>
                <w:rFonts w:hint="eastAsia" w:ascii="仿宋_GB2312" w:eastAsia="仿宋_GB2312"/>
                <w:bCs/>
                <w:szCs w:val="21"/>
              </w:rPr>
              <w:t>41</w:t>
            </w:r>
          </w:p>
        </w:tc>
        <w:tc>
          <w:tcPr>
            <w:tcW w:w="8389"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甘肃省马铃薯淀粉加工分离汁水还田利用关键技术研究与示范</w:t>
            </w:r>
          </w:p>
        </w:tc>
        <w:tc>
          <w:tcPr>
            <w:tcW w:w="914"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周添红</w:t>
            </w:r>
          </w:p>
        </w:tc>
        <w:tc>
          <w:tcPr>
            <w:tcW w:w="2605" w:type="dxa"/>
            <w:shd w:val="clear" w:color="auto" w:fill="auto"/>
            <w:vAlign w:val="center"/>
          </w:tcPr>
          <w:p>
            <w:pPr>
              <w:widowControl/>
              <w:spacing w:line="320" w:lineRule="exact"/>
              <w:jc w:val="center"/>
              <w:rPr>
                <w:rFonts w:ascii="仿宋_GB2312" w:eastAsia="仿宋_GB2312"/>
                <w:szCs w:val="21"/>
              </w:rPr>
            </w:pPr>
            <w:r>
              <w:rPr>
                <w:rFonts w:hint="eastAsia" w:ascii="仿宋_GB2312" w:eastAsia="仿宋_GB2312"/>
                <w:szCs w:val="21"/>
              </w:rPr>
              <w:t>兰州交通大学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42</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高可靠性漏播监测及播种补偿共通道新型马铃薯播种机的试验及推广</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王关平</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甘肃农业大学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1"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hAnsi="黑体" w:eastAsia="仿宋_GB2312" w:cs="宋体"/>
                <w:kern w:val="0"/>
                <w:szCs w:val="21"/>
              </w:rPr>
              <w:t>43</w:t>
            </w:r>
          </w:p>
        </w:tc>
        <w:tc>
          <w:tcPr>
            <w:tcW w:w="8389"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荒漠肉苁蓉精深系列产品加工关键技术集成创新与应用</w:t>
            </w:r>
          </w:p>
        </w:tc>
        <w:tc>
          <w:tcPr>
            <w:tcW w:w="914"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张  珍</w:t>
            </w:r>
          </w:p>
        </w:tc>
        <w:tc>
          <w:tcPr>
            <w:tcW w:w="2605" w:type="dxa"/>
            <w:shd w:val="clear" w:color="auto" w:fill="auto"/>
            <w:vAlign w:val="center"/>
          </w:tcPr>
          <w:p>
            <w:pPr>
              <w:widowControl/>
              <w:spacing w:line="320" w:lineRule="exact"/>
              <w:jc w:val="center"/>
              <w:rPr>
                <w:rFonts w:ascii="仿宋_GB2312" w:hAnsi="黑体" w:eastAsia="仿宋_GB2312" w:cs="宋体"/>
                <w:kern w:val="0"/>
                <w:szCs w:val="21"/>
              </w:rPr>
            </w:pPr>
            <w:r>
              <w:rPr>
                <w:rFonts w:hint="eastAsia" w:ascii="仿宋_GB2312" w:eastAsia="仿宋_GB2312"/>
                <w:szCs w:val="21"/>
              </w:rPr>
              <w:t>甘肃农业大学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44</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马铃薯种质创新与全粉加工型品种的选育、推广和应用</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张  峰</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甘肃农业大学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45</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祁连山寒温性针叶林土壤水、碳耦合关系及其生态服务功能分析与评价系统研发</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赵锦梅</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甘肃农业大学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46</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药食同源盐生植物黑果枸杞种质资源保护及开发利用研究</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马彦军</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甘肃农业大学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47</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利用谷果菜薯加工副产物生产优质肉鸡关键技术研究与示范</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唐德富</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甘肃农业大学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48</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陇东黄土高原果畜草一体化循环模式建立与示范应用</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毛  娟</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甘肃农业大学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49</w:t>
            </w:r>
          </w:p>
        </w:tc>
        <w:tc>
          <w:tcPr>
            <w:tcW w:w="8389"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兰州百合产业高质量发展关键生产技术集成与示范</w:t>
            </w:r>
          </w:p>
        </w:tc>
        <w:tc>
          <w:tcPr>
            <w:tcW w:w="914"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师桂英</w:t>
            </w:r>
          </w:p>
        </w:tc>
        <w:tc>
          <w:tcPr>
            <w:tcW w:w="2605"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甘肃农业大学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50</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甘春系列旱地春小麦新品种繁育及高水效生产综合技术集成与应用</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吴  兵</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甘肃农业大学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51</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耐旱优质冬油菜新品种轻简化高效生产技术示范与推广</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武军艳</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甘肃农业大学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52</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乡村振兴背景下天水花牛苹果商业模式的构建、创新路径与政策选择研究</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马丁丑</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甘肃农业大学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53</w:t>
            </w:r>
          </w:p>
        </w:tc>
        <w:tc>
          <w:tcPr>
            <w:tcW w:w="8389"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河西走廊葡萄酒发酵本土优良酵母菌种资源挖掘与应用推广</w:t>
            </w:r>
          </w:p>
        </w:tc>
        <w:tc>
          <w:tcPr>
            <w:tcW w:w="914"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王  婧</w:t>
            </w:r>
          </w:p>
        </w:tc>
        <w:tc>
          <w:tcPr>
            <w:tcW w:w="2605"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甘肃农业大学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54</w:t>
            </w:r>
          </w:p>
        </w:tc>
        <w:tc>
          <w:tcPr>
            <w:tcW w:w="8389"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甘肃省农业大数据生态产业链关键技术研发及应用示范</w:t>
            </w:r>
          </w:p>
        </w:tc>
        <w:tc>
          <w:tcPr>
            <w:tcW w:w="914"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魏霖静</w:t>
            </w:r>
          </w:p>
        </w:tc>
        <w:tc>
          <w:tcPr>
            <w:tcW w:w="2605"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甘肃农业大学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55</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藏药复方制剂金蕾胶囊关键技术研究及产业化示范应用</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李沛清</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甘肃中医药大学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56</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基于数据挖掘筛选防治肿瘤化疗后气阴两虚证的甘肃道地药材及组方研究</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明海霞</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甘肃中医药大学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57</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颈肩腰腿痛中医特色适宜技术规范化研究与创新推广</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谢兴文</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甘肃中医药大学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58</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“双碳”目标下甘肃省现代能源体系构建中的金融支持策略研究</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史亚荣</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兰州财经大学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59</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基于高通量测序技术的甘肃法医Y-DNA数据库建设</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姚宏兵</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甘肃政法大学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60</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新一代丁烯氧化脱氢制丁二烯技术开发及产业化</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左国防</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天水师范学院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61</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CNCT61250数控重型卧式车镗床高精度在线检测集成系统开发与应用</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杨红平</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天水师范学院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62</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甘肃农产品电子商务平台开发及推广应用</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王雪琳</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天水师范学院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63</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新时代高质量发展背景下陇东南红色旅游示范区建设</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于志远</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天水师范学院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64</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河西走廊肉苁蓉资源高值化利用关键技术与示范</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张喜峰</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河西学院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65</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河西走廊高原夏菜“水肥一体化”高效生产及提质增效体系构建</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赵芸晨</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河西学院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66</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基于深度学习的甘肃省地产药材黄芪、板蓝根品质等级识别信息服务系统构建研究</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张  蕾</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河西学院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67</w:t>
            </w:r>
          </w:p>
        </w:tc>
        <w:tc>
          <w:tcPr>
            <w:tcW w:w="8389"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国审麦陇育10号节水增效集成技术研发与产业化应用</w:t>
            </w:r>
          </w:p>
        </w:tc>
        <w:tc>
          <w:tcPr>
            <w:tcW w:w="914"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施万喜</w:t>
            </w:r>
          </w:p>
        </w:tc>
        <w:tc>
          <w:tcPr>
            <w:tcW w:w="2605"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陇东学院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68</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钠离子电容器硬碳负极材料及器件研究</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孙看军</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兰州城市学院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69</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甘肃特色中药材重金属污染物快速检测技术研究</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饶红红</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兰州城市学院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70</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高强高耐磨高熵合金涂层制备技术及相关机理研究</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国洪建</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兰州城市学院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71</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甘肃少数民族历史文化遗迹的数字资源建设与“数字旅游”模式研究</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郑  刚</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兰州工业学院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1"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72</w:t>
            </w:r>
          </w:p>
        </w:tc>
        <w:tc>
          <w:tcPr>
            <w:tcW w:w="8389"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高速塑壳式智能断路器研制及应用</w:t>
            </w:r>
          </w:p>
        </w:tc>
        <w:tc>
          <w:tcPr>
            <w:tcW w:w="914"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林小军</w:t>
            </w:r>
          </w:p>
        </w:tc>
        <w:tc>
          <w:tcPr>
            <w:tcW w:w="2605" w:type="dxa"/>
            <w:shd w:val="clear" w:color="auto" w:fill="auto"/>
            <w:vAlign w:val="center"/>
          </w:tcPr>
          <w:p>
            <w:pPr>
              <w:widowControl/>
              <w:spacing w:line="320" w:lineRule="exact"/>
              <w:jc w:val="center"/>
              <w:textAlignment w:val="center"/>
              <w:rPr>
                <w:rFonts w:ascii="仿宋_GB2312" w:hAnsi="仿宋_GB2312" w:eastAsia="仿宋_GB2312" w:cs="仿宋_GB2312"/>
                <w:kern w:val="0"/>
                <w:szCs w:val="21"/>
                <w:lang w:bidi="ar"/>
              </w:rPr>
            </w:pPr>
            <w:r>
              <w:rPr>
                <w:rFonts w:hint="eastAsia" w:ascii="仿宋_GB2312" w:eastAsia="仿宋_GB2312"/>
                <w:szCs w:val="21"/>
              </w:rPr>
              <w:t>兰州工业学院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1"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73</w:t>
            </w:r>
          </w:p>
        </w:tc>
        <w:tc>
          <w:tcPr>
            <w:tcW w:w="8389"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乡村振兴背景下甘肃乡村民宿集群发展策略研究与数据平台建设</w:t>
            </w:r>
          </w:p>
        </w:tc>
        <w:tc>
          <w:tcPr>
            <w:tcW w:w="914"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何  瑛</w:t>
            </w:r>
          </w:p>
        </w:tc>
        <w:tc>
          <w:tcPr>
            <w:tcW w:w="2605"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兰州文理学院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1"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74</w:t>
            </w:r>
          </w:p>
        </w:tc>
        <w:tc>
          <w:tcPr>
            <w:tcW w:w="8389"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黄河上游高寒牧区高产优质牧草栽培及草地种养循环模式推广</w:t>
            </w:r>
          </w:p>
        </w:tc>
        <w:tc>
          <w:tcPr>
            <w:tcW w:w="914"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李锦煜</w:t>
            </w:r>
          </w:p>
        </w:tc>
        <w:tc>
          <w:tcPr>
            <w:tcW w:w="2605"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甘肃民族师范学院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1"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75</w:t>
            </w:r>
          </w:p>
        </w:tc>
        <w:tc>
          <w:tcPr>
            <w:tcW w:w="8389"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智能化工厂投送料系统关键技术研究与应用示范</w:t>
            </w:r>
          </w:p>
        </w:tc>
        <w:tc>
          <w:tcPr>
            <w:tcW w:w="914"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魏孔平</w:t>
            </w:r>
          </w:p>
        </w:tc>
        <w:tc>
          <w:tcPr>
            <w:tcW w:w="2605"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兰州石化职业技术大学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71"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76</w:t>
            </w:r>
          </w:p>
        </w:tc>
        <w:tc>
          <w:tcPr>
            <w:tcW w:w="8389" w:type="dxa"/>
            <w:shd w:val="clear" w:color="auto" w:fill="auto"/>
            <w:vAlign w:val="center"/>
          </w:tcPr>
          <w:p>
            <w:pPr>
              <w:widowControl/>
              <w:spacing w:line="240" w:lineRule="exact"/>
              <w:jc w:val="center"/>
              <w:rPr>
                <w:rFonts w:ascii="仿宋_GB2312" w:eastAsia="仿宋_GB2312"/>
                <w:szCs w:val="21"/>
              </w:rPr>
            </w:pPr>
            <w:r>
              <w:rPr>
                <w:rFonts w:hint="eastAsia" w:ascii="仿宋_GB2312" w:eastAsia="仿宋_GB2312"/>
                <w:szCs w:val="21"/>
              </w:rPr>
              <w:t>基于数字孪生的自然灾害应急预案虚拟演练关键技术研究及VR实训系统产教研</w:t>
            </w:r>
          </w:p>
          <w:p>
            <w:pPr>
              <w:widowControl/>
              <w:spacing w:line="320" w:lineRule="exact"/>
              <w:jc w:val="center"/>
              <w:textAlignment w:val="center"/>
              <w:rPr>
                <w:rFonts w:ascii="仿宋_GB2312" w:eastAsia="仿宋_GB2312"/>
                <w:szCs w:val="21"/>
              </w:rPr>
            </w:pPr>
            <w:r>
              <w:rPr>
                <w:rFonts w:hint="eastAsia" w:ascii="仿宋_GB2312" w:eastAsia="仿宋_GB2312"/>
                <w:szCs w:val="21"/>
              </w:rPr>
              <w:t>融合应用</w:t>
            </w:r>
          </w:p>
        </w:tc>
        <w:tc>
          <w:tcPr>
            <w:tcW w:w="914"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阳仁贵</w:t>
            </w:r>
          </w:p>
        </w:tc>
        <w:tc>
          <w:tcPr>
            <w:tcW w:w="2605"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兰州资源环境职业技术</w:t>
            </w:r>
          </w:p>
          <w:p>
            <w:pPr>
              <w:widowControl/>
              <w:spacing w:line="320" w:lineRule="exact"/>
              <w:jc w:val="center"/>
              <w:textAlignment w:val="center"/>
              <w:rPr>
                <w:rFonts w:ascii="仿宋_GB2312" w:eastAsia="仿宋_GB2312"/>
                <w:szCs w:val="21"/>
              </w:rPr>
            </w:pPr>
            <w:r>
              <w:rPr>
                <w:rFonts w:hint="eastAsia" w:ascii="仿宋_GB2312" w:eastAsia="仿宋_GB2312"/>
                <w:szCs w:val="21"/>
              </w:rPr>
              <w:t>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1"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77</w:t>
            </w:r>
          </w:p>
        </w:tc>
        <w:tc>
          <w:tcPr>
            <w:tcW w:w="8389"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精准农业监测高光谱无人机的集成应用研究</w:t>
            </w:r>
          </w:p>
        </w:tc>
        <w:tc>
          <w:tcPr>
            <w:tcW w:w="914"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张  军</w:t>
            </w:r>
          </w:p>
        </w:tc>
        <w:tc>
          <w:tcPr>
            <w:tcW w:w="2605"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甘肃工业职业技术学院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1"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78</w:t>
            </w:r>
          </w:p>
        </w:tc>
        <w:tc>
          <w:tcPr>
            <w:tcW w:w="8389"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多层少墙砌体结构加固关键技术研究及应用</w:t>
            </w:r>
          </w:p>
        </w:tc>
        <w:tc>
          <w:tcPr>
            <w:tcW w:w="914"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曹林同</w:t>
            </w:r>
          </w:p>
        </w:tc>
        <w:tc>
          <w:tcPr>
            <w:tcW w:w="2605"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甘肃建筑职业技术学院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1"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79</w:t>
            </w:r>
          </w:p>
        </w:tc>
        <w:tc>
          <w:tcPr>
            <w:tcW w:w="8389" w:type="dxa"/>
            <w:shd w:val="clear" w:color="auto" w:fill="auto"/>
            <w:vAlign w:val="center"/>
          </w:tcPr>
          <w:p>
            <w:pPr>
              <w:widowControl/>
              <w:spacing w:line="320" w:lineRule="exact"/>
              <w:ind w:firstLine="1890" w:firstLineChars="900"/>
              <w:textAlignment w:val="center"/>
              <w:rPr>
                <w:rFonts w:ascii="仿宋_GB2312" w:eastAsia="仿宋_GB2312"/>
                <w:szCs w:val="21"/>
              </w:rPr>
            </w:pPr>
            <w:r>
              <w:rPr>
                <w:rFonts w:hint="eastAsia" w:ascii="仿宋_GB2312" w:eastAsia="仿宋_GB2312"/>
                <w:szCs w:val="21"/>
              </w:rPr>
              <w:t>全省高校敦煌艺术特色标识研究及应用</w:t>
            </w:r>
          </w:p>
        </w:tc>
        <w:tc>
          <w:tcPr>
            <w:tcW w:w="914"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王玉芳</w:t>
            </w:r>
          </w:p>
        </w:tc>
        <w:tc>
          <w:tcPr>
            <w:tcW w:w="2605"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71" w:type="dxa"/>
            <w:shd w:val="clear" w:color="auto" w:fill="auto"/>
            <w:vAlign w:val="center"/>
          </w:tcPr>
          <w:p>
            <w:pPr>
              <w:widowControl/>
              <w:spacing w:line="320" w:lineRule="exact"/>
              <w:jc w:val="center"/>
              <w:textAlignment w:val="center"/>
              <w:rPr>
                <w:rFonts w:ascii="仿宋_GB2312" w:eastAsia="仿宋_GB2312"/>
                <w:szCs w:val="21"/>
              </w:rPr>
            </w:pPr>
            <w:r>
              <w:rPr>
                <w:rFonts w:hint="eastAsia" w:ascii="仿宋_GB2312" w:eastAsia="仿宋_GB2312"/>
                <w:szCs w:val="21"/>
              </w:rPr>
              <w:t>合计</w:t>
            </w:r>
          </w:p>
        </w:tc>
        <w:tc>
          <w:tcPr>
            <w:tcW w:w="11908" w:type="dxa"/>
            <w:gridSpan w:val="3"/>
            <w:shd w:val="clear" w:color="auto" w:fill="auto"/>
            <w:vAlign w:val="center"/>
          </w:tcPr>
          <w:p>
            <w:pPr>
              <w:spacing w:line="320" w:lineRule="exact"/>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79项</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ODg5NmQ1MjAwZWIzYTI4YmFlYTViODBhNzY2YjgifQ=="/>
  </w:docVars>
  <w:rsids>
    <w:rsidRoot w:val="110667F3"/>
    <w:rsid w:val="1106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2023-06-25T01:07:00Z</dcterms:created>
  <dc:creator>miffy雅宝</dc:creator>
  <cp:lastModifiedBy>miffy雅宝</cp:lastModifiedBy>
  <dcterms:modified xsi:type="dcterms:W3CDTF">2023-06-25T01:07:56Z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1E23A51BCBC747C29256E0248264B3E8_11</vt:lpwstr>
  </property>
</Properties>
</file>