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580" w:lineRule="exact"/>
        <w:rPr>
          <w:rFonts w:ascii="黑体" w:hAnsi="黑体" w:eastAsia="黑体"/>
          <w:sz w:val="32"/>
          <w:szCs w:val="32"/>
        </w:rPr>
      </w:pPr>
      <w:r>
        <w:rPr>
          <w:rFonts w:hint="eastAsia" w:ascii="黑体" w:hAnsi="黑体" w:eastAsia="黑体"/>
          <w:sz w:val="32"/>
          <w:szCs w:val="32"/>
        </w:rPr>
        <w:t>附件</w:t>
      </w:r>
    </w:p>
    <w:p>
      <w:pPr>
        <w:pStyle w:val="2"/>
        <w:spacing w:line="580" w:lineRule="exact"/>
        <w:jc w:val="center"/>
        <w:rPr>
          <w:rFonts w:ascii="方正小标宋简体" w:hAnsi="黑体" w:eastAsia="方正小标宋简体"/>
          <w:sz w:val="44"/>
          <w:szCs w:val="44"/>
        </w:rPr>
      </w:pPr>
      <w:bookmarkStart w:id="0" w:name="_GoBack"/>
      <w:bookmarkEnd w:id="0"/>
    </w:p>
    <w:p>
      <w:pPr>
        <w:pStyle w:val="2"/>
        <w:spacing w:line="580" w:lineRule="exact"/>
        <w:jc w:val="center"/>
        <w:rPr>
          <w:rFonts w:ascii="方正小标宋简体" w:hAnsi="黑体" w:eastAsia="方正小标宋简体"/>
          <w:sz w:val="44"/>
          <w:szCs w:val="44"/>
        </w:rPr>
      </w:pPr>
      <w:r>
        <w:rPr>
          <w:rFonts w:hint="eastAsia" w:ascii="方正小标宋简体" w:hAnsi="黑体" w:eastAsia="方正小标宋简体"/>
          <w:sz w:val="44"/>
          <w:szCs w:val="44"/>
        </w:rPr>
        <w:t>江西省高等学校设置工作规程（修订版）</w:t>
      </w:r>
    </w:p>
    <w:p>
      <w:pPr>
        <w:pStyle w:val="2"/>
        <w:spacing w:line="580" w:lineRule="exact"/>
        <w:jc w:val="center"/>
        <w:rPr>
          <w:rFonts w:ascii="楷体" w:hAnsi="楷体" w:eastAsia="楷体" w:cs="黑体"/>
          <w:sz w:val="32"/>
          <w:szCs w:val="32"/>
        </w:rPr>
      </w:pPr>
      <w:r>
        <w:rPr>
          <w:rFonts w:hint="eastAsia" w:ascii="楷体" w:hAnsi="楷体" w:eastAsia="楷体"/>
          <w:sz w:val="32"/>
          <w:szCs w:val="32"/>
        </w:rPr>
        <w:t>（征求意见稿）</w:t>
      </w:r>
    </w:p>
    <w:p>
      <w:pPr>
        <w:spacing w:line="580" w:lineRule="exact"/>
        <w:jc w:val="center"/>
        <w:rPr>
          <w:rFonts w:ascii="黑体" w:hAnsi="黑体" w:eastAsia="黑体" w:cs="黑体"/>
          <w:sz w:val="32"/>
          <w:szCs w:val="32"/>
        </w:rPr>
      </w:pPr>
    </w:p>
    <w:p>
      <w:pPr>
        <w:pStyle w:val="9"/>
        <w:widowControl w:val="0"/>
        <w:shd w:val="clear" w:color="auto" w:fill="FFFFFF"/>
        <w:spacing w:before="0" w:beforeAutospacing="0" w:after="0" w:afterAutospacing="0" w:line="580" w:lineRule="exact"/>
        <w:jc w:val="center"/>
        <w:rPr>
          <w:rFonts w:ascii="黑体" w:hAnsi="黑体" w:eastAsia="黑体"/>
          <w:sz w:val="32"/>
          <w:szCs w:val="32"/>
        </w:rPr>
      </w:pPr>
      <w:r>
        <w:rPr>
          <w:rFonts w:hint="eastAsia" w:ascii="黑体" w:hAnsi="黑体" w:eastAsia="黑体"/>
          <w:sz w:val="32"/>
          <w:szCs w:val="32"/>
        </w:rPr>
        <w:t>第一章 总则</w:t>
      </w:r>
    </w:p>
    <w:p>
      <w:pPr>
        <w:pStyle w:val="9"/>
        <w:widowControl w:val="0"/>
        <w:shd w:val="clear" w:color="auto" w:fill="FFFFFF"/>
        <w:spacing w:before="0" w:beforeAutospacing="0" w:after="0" w:afterAutospacing="0" w:line="580" w:lineRule="exact"/>
        <w:ind w:firstLine="643" w:firstLineChars="200"/>
        <w:jc w:val="both"/>
        <w:rPr>
          <w:rFonts w:ascii="仿宋_GB2312" w:hAnsi="微软雅黑" w:eastAsia="仿宋_GB2312"/>
          <w:sz w:val="32"/>
          <w:szCs w:val="32"/>
        </w:rPr>
      </w:pPr>
      <w:r>
        <w:rPr>
          <w:rStyle w:val="13"/>
          <w:rFonts w:hint="eastAsia" w:ascii="仿宋_GB2312" w:hAnsi="微软雅黑" w:eastAsia="仿宋_GB2312"/>
          <w:sz w:val="32"/>
          <w:szCs w:val="32"/>
        </w:rPr>
        <w:t xml:space="preserve">第一条 </w:t>
      </w:r>
      <w:r>
        <w:rPr>
          <w:rFonts w:hint="eastAsia" w:ascii="仿宋_GB2312" w:hAnsi="微软雅黑" w:eastAsia="仿宋_GB2312"/>
          <w:sz w:val="32"/>
          <w:szCs w:val="32"/>
        </w:rPr>
        <w:t>为加强对江西省高等学校的宏观管理，科学规范做好高等学校设置工作，根据《中华人民共和国高等教育法》《中华人民共和国职业教育法》《中华人民共和国民办教育促进法》《普通高等学校设置暂行条例》《普通本科学校设置暂行规定》《高等学校命名暂行办法》等法律法规和有关文件精神,结合工作实际制定本规程。</w:t>
      </w:r>
    </w:p>
    <w:p>
      <w:pPr>
        <w:pStyle w:val="9"/>
        <w:widowControl w:val="0"/>
        <w:shd w:val="clear" w:color="auto" w:fill="FFFFFF"/>
        <w:spacing w:before="0" w:beforeAutospacing="0" w:after="0" w:afterAutospacing="0" w:line="580" w:lineRule="exact"/>
        <w:ind w:firstLine="643" w:firstLineChars="200"/>
        <w:jc w:val="both"/>
        <w:rPr>
          <w:rFonts w:ascii="仿宋_GB2312" w:hAnsi="微软雅黑" w:eastAsia="仿宋_GB2312"/>
          <w:sz w:val="32"/>
          <w:szCs w:val="32"/>
        </w:rPr>
      </w:pPr>
      <w:r>
        <w:rPr>
          <w:rStyle w:val="13"/>
          <w:rFonts w:hint="eastAsia" w:ascii="仿宋_GB2312" w:hAnsi="微软雅黑" w:eastAsia="仿宋_GB2312"/>
          <w:sz w:val="32"/>
          <w:szCs w:val="32"/>
        </w:rPr>
        <w:t xml:space="preserve">第二条 </w:t>
      </w:r>
      <w:r>
        <w:rPr>
          <w:rFonts w:hint="eastAsia" w:ascii="仿宋_GB2312" w:hAnsi="微软雅黑" w:eastAsia="仿宋_GB2312"/>
          <w:sz w:val="32"/>
          <w:szCs w:val="32"/>
        </w:rPr>
        <w:t>本规程适用于按照国家规定的设置标准和审批程序批准举办的全日制大学、独立设置的学院、高等职业学校（含本科层次职业学校和专科层次职业学校）以及高等专科学校。</w:t>
      </w:r>
    </w:p>
    <w:p>
      <w:pPr>
        <w:pStyle w:val="9"/>
        <w:widowControl w:val="0"/>
        <w:shd w:val="clear" w:color="auto" w:fill="FFFFFF"/>
        <w:spacing w:before="0" w:beforeAutospacing="0" w:after="0" w:afterAutospacing="0" w:line="580" w:lineRule="exact"/>
        <w:jc w:val="center"/>
        <w:rPr>
          <w:rFonts w:ascii="黑体" w:hAnsi="黑体" w:eastAsia="黑体"/>
          <w:sz w:val="32"/>
          <w:szCs w:val="32"/>
        </w:rPr>
      </w:pPr>
    </w:p>
    <w:p>
      <w:pPr>
        <w:pStyle w:val="9"/>
        <w:widowControl w:val="0"/>
        <w:shd w:val="clear" w:color="auto" w:fill="FFFFFF"/>
        <w:spacing w:before="0" w:beforeAutospacing="0" w:after="0" w:afterAutospacing="0" w:line="580" w:lineRule="exact"/>
        <w:jc w:val="center"/>
        <w:rPr>
          <w:rFonts w:ascii="黑体" w:hAnsi="黑体" w:eastAsia="黑体"/>
          <w:sz w:val="32"/>
          <w:szCs w:val="32"/>
        </w:rPr>
      </w:pPr>
      <w:r>
        <w:rPr>
          <w:rFonts w:hint="eastAsia" w:ascii="黑体" w:hAnsi="黑体" w:eastAsia="黑体"/>
          <w:sz w:val="32"/>
          <w:szCs w:val="32"/>
        </w:rPr>
        <w:t>第二章 基本原则</w:t>
      </w:r>
    </w:p>
    <w:p>
      <w:pPr>
        <w:pStyle w:val="9"/>
        <w:widowControl w:val="0"/>
        <w:shd w:val="clear" w:color="auto" w:fill="FFFFFF"/>
        <w:spacing w:before="0" w:beforeAutospacing="0" w:after="0" w:afterAutospacing="0" w:line="580" w:lineRule="exact"/>
        <w:ind w:firstLine="643" w:firstLineChars="200"/>
        <w:jc w:val="both"/>
        <w:rPr>
          <w:rFonts w:ascii="仿宋_GB2312" w:hAnsi="微软雅黑" w:eastAsia="仿宋_GB2312"/>
          <w:sz w:val="32"/>
          <w:szCs w:val="32"/>
        </w:rPr>
      </w:pPr>
      <w:r>
        <w:rPr>
          <w:rFonts w:hint="eastAsia" w:ascii="仿宋_GB2312" w:hAnsi="微软雅黑" w:eastAsia="仿宋_GB2312"/>
          <w:b/>
          <w:sz w:val="32"/>
          <w:szCs w:val="32"/>
        </w:rPr>
        <w:t>第三条</w:t>
      </w:r>
      <w:r>
        <w:rPr>
          <w:rFonts w:hint="eastAsia" w:ascii="仿宋_GB2312" w:hAnsi="微软雅黑" w:eastAsia="仿宋_GB2312"/>
          <w:sz w:val="32"/>
          <w:szCs w:val="32"/>
        </w:rPr>
        <w:t xml:space="preserve"> 按照“规划先行、科学规范、标准严格”基本原则设置高等学校。</w:t>
      </w:r>
    </w:p>
    <w:p>
      <w:pPr>
        <w:pStyle w:val="9"/>
        <w:widowControl w:val="0"/>
        <w:shd w:val="clear" w:color="auto" w:fill="FFFFFF"/>
        <w:spacing w:before="0" w:beforeAutospacing="0" w:after="0" w:afterAutospacing="0" w:line="580" w:lineRule="exact"/>
        <w:ind w:firstLine="643" w:firstLineChars="200"/>
        <w:jc w:val="both"/>
        <w:rPr>
          <w:rFonts w:ascii="仿宋_GB2312" w:hAnsi="仿宋" w:eastAsia="仿宋_GB2312" w:cs="仿宋_GB2312"/>
          <w:sz w:val="32"/>
          <w:szCs w:val="32"/>
        </w:rPr>
      </w:pPr>
      <w:r>
        <w:rPr>
          <w:rFonts w:hint="eastAsia" w:ascii="仿宋_GB2312" w:hAnsi="微软雅黑" w:eastAsia="仿宋_GB2312"/>
          <w:b/>
          <w:sz w:val="32"/>
          <w:szCs w:val="32"/>
        </w:rPr>
        <w:t>（一）坚持规划先行。</w:t>
      </w:r>
      <w:r>
        <w:rPr>
          <w:rFonts w:hint="eastAsia" w:ascii="仿宋_GB2312" w:hAnsi="微软雅黑" w:eastAsia="仿宋_GB2312"/>
          <w:sz w:val="32"/>
          <w:szCs w:val="32"/>
        </w:rPr>
        <w:t>系统分析现有高等教育资源的规模、结构、类型，研究制定全省高等学校设置规划。</w:t>
      </w:r>
      <w:r>
        <w:rPr>
          <w:rStyle w:val="13"/>
          <w:rFonts w:hint="eastAsia" w:ascii="仿宋_GB2312" w:hAnsi="微软雅黑" w:eastAsia="仿宋_GB2312"/>
          <w:b w:val="0"/>
          <w:sz w:val="32"/>
          <w:szCs w:val="32"/>
        </w:rPr>
        <w:t>强化规划的严肃性、约束性，</w:t>
      </w:r>
      <w:r>
        <w:rPr>
          <w:rFonts w:hint="eastAsia" w:ascii="仿宋_GB2312" w:hAnsi="微软雅黑" w:eastAsia="仿宋_GB2312"/>
          <w:sz w:val="32"/>
          <w:szCs w:val="32"/>
        </w:rPr>
        <w:t>未纳入我省高等学校设置规划的设置事项不予受理</w:t>
      </w:r>
      <w:r>
        <w:rPr>
          <w:rFonts w:hint="eastAsia" w:ascii="仿宋_GB2312" w:hAnsi="仿宋" w:eastAsia="仿宋_GB2312" w:cs="仿宋_GB2312"/>
          <w:sz w:val="32"/>
          <w:szCs w:val="32"/>
        </w:rPr>
        <w:t>。</w:t>
      </w:r>
    </w:p>
    <w:p>
      <w:pPr>
        <w:pStyle w:val="9"/>
        <w:widowControl w:val="0"/>
        <w:shd w:val="clear" w:color="auto" w:fill="FFFFFF"/>
        <w:spacing w:before="0" w:beforeAutospacing="0" w:after="0" w:afterAutospacing="0" w:line="580" w:lineRule="exact"/>
        <w:ind w:firstLine="643" w:firstLineChars="200"/>
        <w:jc w:val="both"/>
        <w:rPr>
          <w:rFonts w:ascii="仿宋_GB2312" w:hAnsi="仿宋" w:eastAsia="仿宋_GB2312" w:cs="仿宋_GB2312"/>
          <w:sz w:val="32"/>
          <w:szCs w:val="32"/>
        </w:rPr>
      </w:pPr>
      <w:r>
        <w:rPr>
          <w:rFonts w:hint="eastAsia" w:ascii="仿宋_GB2312" w:hAnsi="微软雅黑" w:eastAsia="仿宋_GB2312"/>
          <w:b/>
          <w:sz w:val="32"/>
          <w:szCs w:val="32"/>
        </w:rPr>
        <w:t>（二）坚持科学规范。</w:t>
      </w:r>
      <w:r>
        <w:rPr>
          <w:rFonts w:hint="eastAsia" w:ascii="仿宋_GB2312" w:hAnsi="微软雅黑" w:eastAsia="仿宋_GB2312"/>
          <w:sz w:val="32"/>
          <w:szCs w:val="32"/>
        </w:rPr>
        <w:t>组建全省高校设置评议委员会（简称省高评委），完善专家考察评议机制。按程序、有节奏开展高等学校设置工作，规范受理、论证、公示、报批等流程，推动规划有序实施，提高设置工作的科学性和规范性。</w:t>
      </w:r>
      <w:r>
        <w:rPr>
          <w:rFonts w:hint="eastAsia" w:ascii="仿宋_GB2312" w:hAnsi="仿宋" w:eastAsia="仿宋_GB2312" w:cs="仿宋_GB2312"/>
          <w:sz w:val="32"/>
          <w:szCs w:val="32"/>
        </w:rPr>
        <w:t xml:space="preserve"> </w:t>
      </w:r>
    </w:p>
    <w:p>
      <w:pPr>
        <w:pStyle w:val="9"/>
        <w:widowControl w:val="0"/>
        <w:shd w:val="clear" w:color="auto" w:fill="FFFFFF"/>
        <w:spacing w:before="0" w:beforeAutospacing="0" w:after="0" w:afterAutospacing="0" w:line="580" w:lineRule="exact"/>
        <w:ind w:firstLine="643" w:firstLineChars="200"/>
        <w:jc w:val="both"/>
        <w:rPr>
          <w:rFonts w:ascii="仿宋_GB2312" w:hAnsi="微软雅黑" w:eastAsia="仿宋_GB2312"/>
          <w:sz w:val="32"/>
          <w:szCs w:val="32"/>
        </w:rPr>
      </w:pPr>
      <w:r>
        <w:rPr>
          <w:rFonts w:hint="eastAsia" w:ascii="仿宋_GB2312" w:hAnsi="微软雅黑" w:eastAsia="仿宋_GB2312"/>
          <w:b/>
          <w:sz w:val="32"/>
          <w:szCs w:val="32"/>
        </w:rPr>
        <w:t>（三）坚持标准严格。</w:t>
      </w:r>
      <w:r>
        <w:rPr>
          <w:rFonts w:hint="eastAsia" w:ascii="仿宋_GB2312" w:hAnsi="微软雅黑" w:eastAsia="仿宋_GB2312"/>
          <w:sz w:val="32"/>
          <w:szCs w:val="32"/>
        </w:rPr>
        <w:t>严格执行教育部和我省高等学校设置政策和标准，加强科学论证和风险评估，加大信息公开力度，强化事中事后监管，促进新设高校提质增效，确保高校设置质量。</w:t>
      </w:r>
    </w:p>
    <w:p>
      <w:pPr>
        <w:pStyle w:val="9"/>
        <w:widowControl w:val="0"/>
        <w:shd w:val="clear" w:color="auto" w:fill="FFFFFF"/>
        <w:spacing w:before="0" w:beforeAutospacing="0" w:after="0" w:afterAutospacing="0" w:line="580" w:lineRule="exact"/>
        <w:jc w:val="center"/>
        <w:rPr>
          <w:rFonts w:ascii="黑体" w:hAnsi="黑体" w:eastAsia="黑体"/>
          <w:sz w:val="32"/>
          <w:szCs w:val="32"/>
        </w:rPr>
      </w:pPr>
    </w:p>
    <w:p>
      <w:pPr>
        <w:pStyle w:val="9"/>
        <w:widowControl w:val="0"/>
        <w:shd w:val="clear" w:color="auto" w:fill="FFFFFF"/>
        <w:spacing w:before="0" w:beforeAutospacing="0" w:after="0" w:afterAutospacing="0" w:line="580" w:lineRule="exact"/>
        <w:jc w:val="center"/>
        <w:rPr>
          <w:rFonts w:ascii="黑体" w:hAnsi="黑体" w:eastAsia="黑体"/>
          <w:sz w:val="32"/>
          <w:szCs w:val="32"/>
        </w:rPr>
      </w:pPr>
      <w:r>
        <w:rPr>
          <w:rFonts w:hint="eastAsia" w:ascii="黑体" w:hAnsi="黑体" w:eastAsia="黑体"/>
          <w:sz w:val="32"/>
          <w:szCs w:val="32"/>
        </w:rPr>
        <w:t>第三章 设置要求</w:t>
      </w:r>
    </w:p>
    <w:p>
      <w:pPr>
        <w:pStyle w:val="9"/>
        <w:widowControl w:val="0"/>
        <w:shd w:val="clear" w:color="auto" w:fill="FFFFFF"/>
        <w:spacing w:before="0" w:beforeAutospacing="0" w:after="0" w:afterAutospacing="0" w:line="580" w:lineRule="exact"/>
        <w:ind w:firstLine="643" w:firstLineChars="200"/>
        <w:jc w:val="both"/>
        <w:rPr>
          <w:rStyle w:val="13"/>
          <w:rFonts w:ascii="仿宋_GB2312" w:hAnsi="微软雅黑" w:eastAsia="仿宋_GB2312"/>
          <w:b w:val="0"/>
          <w:sz w:val="32"/>
          <w:szCs w:val="32"/>
        </w:rPr>
      </w:pPr>
      <w:r>
        <w:rPr>
          <w:rStyle w:val="13"/>
          <w:rFonts w:hint="eastAsia" w:ascii="仿宋_GB2312" w:hAnsi="微软雅黑" w:eastAsia="仿宋_GB2312"/>
          <w:sz w:val="32"/>
          <w:szCs w:val="32"/>
        </w:rPr>
        <w:t xml:space="preserve">第四条 </w:t>
      </w:r>
      <w:r>
        <w:rPr>
          <w:rStyle w:val="13"/>
          <w:rFonts w:hint="eastAsia" w:ascii="仿宋_GB2312" w:hAnsi="微软雅黑" w:eastAsia="仿宋_GB2312"/>
          <w:b w:val="0"/>
          <w:sz w:val="32"/>
          <w:szCs w:val="32"/>
        </w:rPr>
        <w:t>立足加快构建高质量教育体系，瞄准建设教育强省目标，站在服务国家战略和区域经济高质量发展的高度整体推进高校设置工作。切实发挥高校设置在扩大资源供给、推进结构调整、促进布局优化等方面的作用，全面提升高等教育整体实力。优先支持办学定位明晰、办学特色鲜明的学校，在坚持办学条件达到院校设置标准的基础上，更加注重学校设置的必要性论证和办学的持续保障能力，确保新设一所、成就一所。</w:t>
      </w:r>
    </w:p>
    <w:p>
      <w:pPr>
        <w:pStyle w:val="9"/>
        <w:widowControl w:val="0"/>
        <w:shd w:val="clear" w:color="auto" w:fill="FFFFFF"/>
        <w:spacing w:before="0" w:beforeAutospacing="0" w:after="0" w:afterAutospacing="0" w:line="580" w:lineRule="exact"/>
        <w:ind w:firstLine="643" w:firstLineChars="200"/>
        <w:jc w:val="both"/>
        <w:rPr>
          <w:rFonts w:ascii="仿宋_GB2312" w:hAnsi="微软雅黑" w:eastAsia="仿宋_GB2312"/>
          <w:sz w:val="32"/>
          <w:szCs w:val="32"/>
        </w:rPr>
      </w:pPr>
      <w:r>
        <w:rPr>
          <w:rStyle w:val="13"/>
          <w:rFonts w:hint="eastAsia" w:ascii="仿宋_GB2312" w:hAnsi="微软雅黑" w:eastAsia="仿宋_GB2312"/>
          <w:sz w:val="32"/>
          <w:szCs w:val="32"/>
        </w:rPr>
        <w:t xml:space="preserve">第五条 </w:t>
      </w:r>
      <w:r>
        <w:rPr>
          <w:rFonts w:hint="eastAsia" w:ascii="仿宋_GB2312" w:hAnsi="微软雅黑" w:eastAsia="仿宋_GB2312"/>
          <w:sz w:val="32"/>
          <w:szCs w:val="32"/>
        </w:rPr>
        <w:t>本科院校的设置由</w:t>
      </w:r>
      <w:r>
        <w:rPr>
          <w:rStyle w:val="13"/>
          <w:rFonts w:hint="eastAsia" w:ascii="仿宋_GB2312" w:hAnsi="微软雅黑" w:eastAsia="仿宋_GB2312"/>
          <w:b w:val="0"/>
          <w:sz w:val="32"/>
          <w:szCs w:val="32"/>
        </w:rPr>
        <w:t>省教育厅提出审核意见，</w:t>
      </w:r>
      <w:r>
        <w:rPr>
          <w:rFonts w:hint="eastAsia" w:ascii="仿宋_GB2312" w:hAnsi="微软雅黑" w:eastAsia="仿宋_GB2312"/>
          <w:sz w:val="32"/>
          <w:szCs w:val="32"/>
        </w:rPr>
        <w:t>省政府报教育部审批；专科学历教育高等学校</w:t>
      </w:r>
      <w:r>
        <w:rPr>
          <w:rStyle w:val="13"/>
          <w:rFonts w:hint="eastAsia" w:ascii="仿宋_GB2312" w:hAnsi="微软雅黑" w:eastAsia="仿宋_GB2312"/>
          <w:b w:val="0"/>
          <w:sz w:val="32"/>
          <w:szCs w:val="32"/>
        </w:rPr>
        <w:t>的设置由省教育厅提出审核意见，省政府审批并报教育部备案。设置事项</w:t>
      </w:r>
      <w:r>
        <w:rPr>
          <w:rFonts w:hint="eastAsia" w:ascii="仿宋_GB2312" w:hAnsi="微软雅黑" w:eastAsia="仿宋_GB2312"/>
          <w:sz w:val="32"/>
          <w:szCs w:val="32"/>
        </w:rPr>
        <w:t>包括高等学校的设立、分立、合并、终止，变更名称、类别和其他重要事项等。设置事项须纳入全省高等学校设置规划，符合国家相关法律法规要求，以及相关设置标准。申请设置行业院校，需经行业主管部门同意。</w:t>
      </w:r>
    </w:p>
    <w:p>
      <w:pPr>
        <w:pStyle w:val="9"/>
        <w:widowControl w:val="0"/>
        <w:shd w:val="clear" w:color="auto" w:fill="FFFFFF"/>
        <w:spacing w:before="0" w:beforeAutospacing="0" w:after="0" w:afterAutospacing="0" w:line="580" w:lineRule="exact"/>
        <w:ind w:firstLine="643" w:firstLineChars="200"/>
        <w:jc w:val="both"/>
        <w:rPr>
          <w:rFonts w:ascii="仿宋_GB2312" w:hAnsi="微软雅黑" w:eastAsia="仿宋_GB2312"/>
          <w:sz w:val="32"/>
          <w:szCs w:val="32"/>
        </w:rPr>
      </w:pPr>
      <w:r>
        <w:rPr>
          <w:rStyle w:val="13"/>
          <w:rFonts w:hint="eastAsia" w:ascii="仿宋_GB2312" w:hAnsi="微软雅黑" w:eastAsia="仿宋_GB2312"/>
          <w:sz w:val="32"/>
          <w:szCs w:val="32"/>
        </w:rPr>
        <w:t xml:space="preserve">第六条 </w:t>
      </w:r>
      <w:r>
        <w:rPr>
          <w:rFonts w:hint="eastAsia" w:ascii="仿宋_GB2312" w:hAnsi="微软雅黑" w:eastAsia="仿宋_GB2312"/>
          <w:sz w:val="32"/>
          <w:szCs w:val="32"/>
        </w:rPr>
        <w:t>高等学校实行一校一名制，命名要坚持名实相符、准确规范，体现办学理念，突出内涵特色，避免贪大求全，不得违反国家有关规定。</w:t>
      </w:r>
    </w:p>
    <w:p>
      <w:pPr>
        <w:pStyle w:val="9"/>
        <w:widowControl w:val="0"/>
        <w:shd w:val="clear" w:color="auto" w:fill="FFFFFF"/>
        <w:spacing w:before="0" w:beforeAutospacing="0" w:after="0" w:afterAutospacing="0" w:line="580" w:lineRule="exact"/>
        <w:ind w:firstLine="640" w:firstLineChars="200"/>
        <w:jc w:val="both"/>
        <w:rPr>
          <w:rFonts w:ascii="仿宋_GB2312" w:hAnsi="微软雅黑" w:eastAsia="仿宋_GB2312"/>
          <w:sz w:val="32"/>
          <w:szCs w:val="32"/>
        </w:rPr>
      </w:pPr>
      <w:r>
        <w:rPr>
          <w:rFonts w:hint="eastAsia" w:ascii="仿宋_GB2312" w:hAnsi="微软雅黑" w:eastAsia="仿宋_GB2312"/>
          <w:sz w:val="32"/>
          <w:szCs w:val="32"/>
        </w:rPr>
        <w:t>（一）不得冠以“中华”“中国”“全国”“国际”等字样，也不得冠以“华北”“华东”“东北”“西南”等大区及大区变体字样，不得使用本省和学校所在城市以外的地域名称，不得使用国外高校的中文译名和简称。</w:t>
      </w:r>
    </w:p>
    <w:p>
      <w:pPr>
        <w:pStyle w:val="9"/>
        <w:widowControl w:val="0"/>
        <w:shd w:val="clear" w:color="auto" w:fill="FFFFFF"/>
        <w:spacing w:before="0" w:beforeAutospacing="0" w:after="0" w:afterAutospacing="0" w:line="580" w:lineRule="exact"/>
        <w:ind w:firstLine="640" w:firstLineChars="200"/>
        <w:jc w:val="both"/>
        <w:rPr>
          <w:rFonts w:ascii="仿宋_GB2312" w:hAnsi="微软雅黑" w:eastAsia="仿宋_GB2312"/>
          <w:sz w:val="32"/>
          <w:szCs w:val="32"/>
        </w:rPr>
      </w:pPr>
      <w:r>
        <w:rPr>
          <w:rFonts w:hint="eastAsia" w:ascii="仿宋_GB2312" w:hAnsi="微软雅黑" w:eastAsia="仿宋_GB2312"/>
          <w:sz w:val="32"/>
          <w:szCs w:val="32"/>
        </w:rPr>
        <w:t>（二）不得以个人姓名命名。不得与现有的高校名称雷同，不得使用其他高等学校曾使用过的名称。</w:t>
      </w:r>
    </w:p>
    <w:p>
      <w:pPr>
        <w:pStyle w:val="9"/>
        <w:widowControl w:val="0"/>
        <w:shd w:val="clear" w:color="auto" w:fill="FFFFFF"/>
        <w:spacing w:before="0" w:beforeAutospacing="0" w:after="0" w:afterAutospacing="0" w:line="580" w:lineRule="exact"/>
        <w:ind w:firstLine="640" w:firstLineChars="200"/>
        <w:jc w:val="both"/>
        <w:rPr>
          <w:rFonts w:ascii="仿宋_GB2312" w:hAnsi="微软雅黑" w:eastAsia="仿宋_GB2312"/>
          <w:sz w:val="32"/>
          <w:szCs w:val="32"/>
        </w:rPr>
      </w:pPr>
      <w:r>
        <w:rPr>
          <w:rFonts w:hint="eastAsia" w:ascii="仿宋_GB2312" w:hAnsi="微软雅黑" w:eastAsia="仿宋_GB2312"/>
          <w:sz w:val="32"/>
          <w:szCs w:val="32"/>
        </w:rPr>
        <w:t>（三）由独立学院转设的独立设置的学校，名称中不得包含原举办学校名称及简称。</w:t>
      </w:r>
    </w:p>
    <w:p>
      <w:pPr>
        <w:pStyle w:val="9"/>
        <w:widowControl w:val="0"/>
        <w:shd w:val="clear" w:color="auto" w:fill="FFFFFF"/>
        <w:spacing w:before="0" w:beforeAutospacing="0" w:after="0" w:afterAutospacing="0" w:line="580" w:lineRule="exact"/>
        <w:ind w:firstLine="640" w:firstLineChars="200"/>
        <w:jc w:val="both"/>
        <w:rPr>
          <w:rFonts w:ascii="仿宋_GB2312" w:hAnsi="微软雅黑" w:eastAsia="仿宋_GB2312"/>
          <w:sz w:val="32"/>
          <w:szCs w:val="32"/>
        </w:rPr>
      </w:pPr>
      <w:r>
        <w:rPr>
          <w:rFonts w:hint="eastAsia" w:ascii="仿宋_GB2312" w:hAnsi="微软雅黑" w:eastAsia="仿宋_GB2312"/>
          <w:sz w:val="32"/>
          <w:szCs w:val="32"/>
        </w:rPr>
        <w:t>（四）营利性民办学校名称应当符合公司登记管理和教育相关法律法规的规定。</w:t>
      </w:r>
    </w:p>
    <w:p>
      <w:pPr>
        <w:pStyle w:val="9"/>
        <w:widowControl w:val="0"/>
        <w:shd w:val="clear" w:color="auto" w:fill="FFFFFF"/>
        <w:spacing w:before="0" w:beforeAutospacing="0" w:after="0" w:afterAutospacing="0" w:line="580" w:lineRule="exact"/>
        <w:ind w:firstLine="643" w:firstLineChars="200"/>
        <w:jc w:val="both"/>
        <w:rPr>
          <w:rFonts w:ascii="仿宋_GB2312" w:hAnsi="微软雅黑" w:eastAsia="仿宋_GB2312"/>
          <w:sz w:val="32"/>
          <w:szCs w:val="32"/>
        </w:rPr>
      </w:pPr>
      <w:r>
        <w:rPr>
          <w:rStyle w:val="13"/>
          <w:rFonts w:hint="eastAsia" w:ascii="仿宋_GB2312" w:hAnsi="微软雅黑" w:eastAsia="仿宋_GB2312"/>
          <w:sz w:val="32"/>
          <w:szCs w:val="32"/>
        </w:rPr>
        <w:t xml:space="preserve">第七条 </w:t>
      </w:r>
      <w:r>
        <w:rPr>
          <w:rStyle w:val="13"/>
          <w:rFonts w:hint="eastAsia" w:ascii="仿宋_GB2312" w:hAnsi="微软雅黑" w:eastAsia="仿宋_GB2312"/>
          <w:b w:val="0"/>
          <w:sz w:val="32"/>
          <w:szCs w:val="32"/>
        </w:rPr>
        <w:t>独立设置的</w:t>
      </w:r>
      <w:r>
        <w:rPr>
          <w:rFonts w:hint="eastAsia" w:ascii="仿宋_GB2312" w:hAnsi="微软雅黑" w:eastAsia="仿宋_GB2312"/>
          <w:sz w:val="32"/>
          <w:szCs w:val="32"/>
        </w:rPr>
        <w:t>成人高等学校，已停招多年、无在校生的，可依法申请终止办学、撤销建制。成人高等学校改制为普通本科学校或高职院校、以及已停止招生的学校申请重新办学，均需按照高等学校设置审批程序办理。</w:t>
      </w:r>
    </w:p>
    <w:p>
      <w:pPr>
        <w:pStyle w:val="9"/>
        <w:widowControl w:val="0"/>
        <w:shd w:val="clear" w:color="auto" w:fill="FFFFFF"/>
        <w:spacing w:before="0" w:beforeAutospacing="0" w:after="0" w:afterAutospacing="0" w:line="580" w:lineRule="exact"/>
        <w:ind w:firstLine="643" w:firstLineChars="200"/>
        <w:jc w:val="both"/>
        <w:rPr>
          <w:rFonts w:ascii="仿宋_GB2312" w:hAnsi="微软雅黑" w:eastAsia="仿宋_GB2312"/>
          <w:sz w:val="32"/>
          <w:szCs w:val="32"/>
        </w:rPr>
      </w:pPr>
      <w:r>
        <w:rPr>
          <w:rFonts w:hint="eastAsia" w:ascii="仿宋_GB2312" w:hAnsi="微软雅黑" w:eastAsia="仿宋_GB2312"/>
          <w:b/>
          <w:sz w:val="32"/>
          <w:szCs w:val="32"/>
        </w:rPr>
        <w:t xml:space="preserve">第八条 </w:t>
      </w:r>
      <w:r>
        <w:rPr>
          <w:rFonts w:hint="eastAsia" w:ascii="仿宋_GB2312" w:hAnsi="微软雅黑" w:eastAsia="仿宋_GB2312"/>
          <w:sz w:val="32"/>
          <w:szCs w:val="32"/>
        </w:rPr>
        <w:t>办学中存在违规招生等违法违纪现象，且未按规定及时进行整改的学校，当年不得申请设置。</w:t>
      </w:r>
    </w:p>
    <w:p>
      <w:pPr>
        <w:pStyle w:val="9"/>
        <w:widowControl w:val="0"/>
        <w:shd w:val="clear" w:color="auto" w:fill="FFFFFF"/>
        <w:spacing w:before="0" w:beforeAutospacing="0" w:after="0" w:afterAutospacing="0" w:line="580" w:lineRule="exact"/>
        <w:jc w:val="center"/>
        <w:rPr>
          <w:rFonts w:ascii="黑体" w:hAnsi="黑体" w:eastAsia="黑体"/>
          <w:sz w:val="32"/>
          <w:szCs w:val="32"/>
        </w:rPr>
      </w:pPr>
    </w:p>
    <w:p>
      <w:pPr>
        <w:pStyle w:val="9"/>
        <w:widowControl w:val="0"/>
        <w:shd w:val="clear" w:color="auto" w:fill="FFFFFF"/>
        <w:spacing w:before="0" w:beforeAutospacing="0" w:after="0" w:afterAutospacing="0" w:line="580" w:lineRule="exact"/>
        <w:jc w:val="center"/>
        <w:rPr>
          <w:rFonts w:ascii="黑体" w:hAnsi="黑体" w:eastAsia="黑体"/>
          <w:sz w:val="32"/>
          <w:szCs w:val="32"/>
        </w:rPr>
      </w:pPr>
      <w:r>
        <w:rPr>
          <w:rFonts w:hint="eastAsia" w:ascii="黑体" w:hAnsi="黑体" w:eastAsia="黑体"/>
          <w:sz w:val="32"/>
          <w:szCs w:val="32"/>
        </w:rPr>
        <w:t>第四章 审批程序</w:t>
      </w:r>
    </w:p>
    <w:p>
      <w:pPr>
        <w:pStyle w:val="9"/>
        <w:widowControl w:val="0"/>
        <w:shd w:val="clear" w:color="auto" w:fill="FFFFFF"/>
        <w:spacing w:before="0" w:beforeAutospacing="0" w:after="0" w:afterAutospacing="0" w:line="580" w:lineRule="exact"/>
        <w:ind w:firstLine="643" w:firstLineChars="200"/>
        <w:jc w:val="both"/>
        <w:rPr>
          <w:rFonts w:ascii="仿宋_GB2312" w:hAnsi="微软雅黑" w:eastAsia="仿宋_GB2312"/>
          <w:sz w:val="32"/>
          <w:szCs w:val="32"/>
        </w:rPr>
      </w:pPr>
      <w:r>
        <w:rPr>
          <w:rFonts w:hint="eastAsia" w:ascii="仿宋_GB2312" w:hAnsi="微软雅黑" w:eastAsia="仿宋_GB2312"/>
          <w:b/>
          <w:sz w:val="32"/>
          <w:szCs w:val="32"/>
        </w:rPr>
        <w:t xml:space="preserve">第九条 </w:t>
      </w:r>
      <w:r>
        <w:rPr>
          <w:rFonts w:hint="eastAsia" w:ascii="仿宋_GB2312" w:hAnsi="微软雅黑" w:eastAsia="仿宋_GB2312"/>
          <w:sz w:val="32"/>
          <w:szCs w:val="32"/>
        </w:rPr>
        <w:t>全省高等学校设置规划编制工作按照教育部统一部署开展，原则上每五年编制一次，期间进行一次规划中期调整。</w:t>
      </w:r>
    </w:p>
    <w:p>
      <w:pPr>
        <w:pStyle w:val="9"/>
        <w:widowControl w:val="0"/>
        <w:shd w:val="clear" w:color="auto" w:fill="FFFFFF"/>
        <w:spacing w:before="0" w:beforeAutospacing="0" w:after="0" w:afterAutospacing="0" w:line="580" w:lineRule="exact"/>
        <w:ind w:firstLine="640" w:firstLineChars="200"/>
        <w:jc w:val="both"/>
        <w:rPr>
          <w:rFonts w:ascii="仿宋_GB2312" w:hAnsi="微软雅黑" w:eastAsia="仿宋_GB2312"/>
          <w:sz w:val="32"/>
          <w:szCs w:val="32"/>
        </w:rPr>
      </w:pPr>
      <w:r>
        <w:rPr>
          <w:rFonts w:hint="eastAsia" w:ascii="仿宋_GB2312" w:hAnsi="微软雅黑" w:eastAsia="仿宋_GB2312"/>
          <w:sz w:val="32"/>
          <w:szCs w:val="32"/>
        </w:rPr>
        <w:t>（一）项目申报。申请纳入高校设置规划的学校，需经学校所在地设区市人民政府或主管的省直单位向省教育厅提出申请，省属高校直接由学校向省教育厅提出申请，并附论证报告。</w:t>
      </w:r>
    </w:p>
    <w:p>
      <w:pPr>
        <w:pStyle w:val="9"/>
        <w:widowControl w:val="0"/>
        <w:shd w:val="clear" w:color="auto" w:fill="FFFFFF"/>
        <w:spacing w:before="0" w:beforeAutospacing="0" w:after="0" w:afterAutospacing="0" w:line="580" w:lineRule="exact"/>
        <w:ind w:firstLine="640" w:firstLineChars="200"/>
        <w:jc w:val="both"/>
        <w:rPr>
          <w:rFonts w:ascii="仿宋_GB2312" w:hAnsi="微软雅黑" w:eastAsia="仿宋_GB2312"/>
          <w:sz w:val="32"/>
          <w:szCs w:val="32"/>
        </w:rPr>
      </w:pPr>
      <w:r>
        <w:rPr>
          <w:rFonts w:hint="eastAsia" w:ascii="仿宋_GB2312" w:hAnsi="微软雅黑" w:eastAsia="仿宋_GB2312"/>
          <w:sz w:val="32"/>
          <w:szCs w:val="32"/>
        </w:rPr>
        <w:t>（二）编制规划。省教育厅组织省高评委专家对申报材料进行形式审查，符合政策要求的项目将列入省高评委会评议名单。省高评委召开专题会议，对申请</w:t>
      </w:r>
      <w:r>
        <w:rPr>
          <w:rFonts w:hint="eastAsia" w:ascii="仿宋_GB2312" w:eastAsia="仿宋_GB2312"/>
          <w:sz w:val="32"/>
          <w:szCs w:val="32"/>
        </w:rPr>
        <w:t>纳入规划的</w:t>
      </w:r>
      <w:r>
        <w:rPr>
          <w:rFonts w:hint="eastAsia" w:ascii="仿宋_GB2312" w:hAnsi="微软雅黑" w:eastAsia="仿宋_GB2312"/>
          <w:sz w:val="32"/>
          <w:szCs w:val="32"/>
        </w:rPr>
        <w:t>项目进行论证评议，</w:t>
      </w:r>
      <w:r>
        <w:rPr>
          <w:rFonts w:hint="eastAsia" w:ascii="仿宋_GB2312" w:eastAsia="仿宋_GB2312"/>
          <w:sz w:val="32"/>
          <w:szCs w:val="32"/>
        </w:rPr>
        <w:t>坚持优中选优，综合考量确定拟纳入规划的项目。根据省高评委会评议结果，由省教育厅起草高校设置规划草案，征求发改、财政等有关单位意见建议后，</w:t>
      </w:r>
      <w:r>
        <w:rPr>
          <w:rFonts w:hint="eastAsia" w:ascii="仿宋_GB2312" w:hAnsi="微软雅黑" w:eastAsia="仿宋_GB2312"/>
          <w:sz w:val="32"/>
          <w:szCs w:val="32"/>
        </w:rPr>
        <w:t>提交厅长办公会审议。</w:t>
      </w:r>
    </w:p>
    <w:p>
      <w:pPr>
        <w:pStyle w:val="9"/>
        <w:widowControl w:val="0"/>
        <w:shd w:val="clear" w:color="auto" w:fill="FFFFFF"/>
        <w:spacing w:before="0" w:beforeAutospacing="0" w:after="0" w:afterAutospacing="0" w:line="580" w:lineRule="exact"/>
        <w:ind w:firstLine="640" w:firstLineChars="200"/>
        <w:jc w:val="both"/>
        <w:rPr>
          <w:rFonts w:ascii="仿宋_GB2312" w:hAnsi="微软雅黑" w:eastAsia="仿宋_GB2312"/>
          <w:sz w:val="32"/>
          <w:szCs w:val="32"/>
        </w:rPr>
      </w:pPr>
      <w:r>
        <w:rPr>
          <w:rFonts w:hint="eastAsia" w:ascii="仿宋_GB2312" w:hAnsi="微软雅黑" w:eastAsia="仿宋_GB2312"/>
          <w:sz w:val="32"/>
          <w:szCs w:val="32"/>
        </w:rPr>
        <w:t>（三）送审备案。省教育厅请示省政府同意后，将高校设置规划草案</w:t>
      </w:r>
      <w:r>
        <w:rPr>
          <w:rFonts w:hint="eastAsia" w:ascii="仿宋_GB2312" w:eastAsia="仿宋_GB2312"/>
          <w:sz w:val="32"/>
          <w:szCs w:val="32"/>
        </w:rPr>
        <w:t>报教育部，接受全国高校设置评议委员会评议。</w:t>
      </w:r>
      <w:r>
        <w:rPr>
          <w:rFonts w:hint="eastAsia" w:ascii="仿宋_GB2312" w:hAnsi="楷体" w:eastAsia="仿宋_GB2312"/>
          <w:bCs/>
          <w:sz w:val="32"/>
          <w:szCs w:val="32"/>
        </w:rPr>
        <w:t>根据</w:t>
      </w:r>
      <w:r>
        <w:rPr>
          <w:rFonts w:hint="eastAsia" w:ascii="仿宋_GB2312" w:eastAsia="仿宋_GB2312"/>
          <w:sz w:val="32"/>
          <w:szCs w:val="32"/>
        </w:rPr>
        <w:t>教育部反馈的评议意见，对</w:t>
      </w:r>
      <w:r>
        <w:rPr>
          <w:rFonts w:hint="eastAsia" w:ascii="仿宋_GB2312" w:hAnsi="微软雅黑" w:eastAsia="仿宋_GB2312"/>
          <w:sz w:val="32"/>
          <w:szCs w:val="32"/>
        </w:rPr>
        <w:t>高校设置规划</w:t>
      </w:r>
      <w:r>
        <w:rPr>
          <w:rFonts w:hint="eastAsia" w:ascii="仿宋_GB2312" w:eastAsia="仿宋_GB2312"/>
          <w:sz w:val="32"/>
          <w:szCs w:val="32"/>
        </w:rPr>
        <w:t>进行修改完善，呈报省政府审定后报教育部备案，并正式印发。备案通过的高校设置规划将作为高校设置受理依据。</w:t>
      </w:r>
    </w:p>
    <w:p>
      <w:pPr>
        <w:pStyle w:val="9"/>
        <w:widowControl w:val="0"/>
        <w:shd w:val="clear" w:color="auto" w:fill="FFFFFF"/>
        <w:spacing w:before="0" w:beforeAutospacing="0" w:after="0" w:afterAutospacing="0" w:line="580" w:lineRule="exact"/>
        <w:ind w:firstLine="643" w:firstLineChars="200"/>
        <w:jc w:val="both"/>
        <w:rPr>
          <w:rFonts w:ascii="仿宋_GB2312" w:hAnsi="微软雅黑" w:eastAsia="仿宋_GB2312"/>
          <w:sz w:val="32"/>
          <w:szCs w:val="32"/>
        </w:rPr>
      </w:pPr>
      <w:r>
        <w:rPr>
          <w:rStyle w:val="13"/>
          <w:rFonts w:hint="eastAsia" w:ascii="仿宋_GB2312" w:hAnsi="微软雅黑" w:eastAsia="仿宋_GB2312"/>
          <w:sz w:val="32"/>
          <w:szCs w:val="32"/>
        </w:rPr>
        <w:t xml:space="preserve">第十条 </w:t>
      </w:r>
      <w:r>
        <w:rPr>
          <w:rFonts w:hint="eastAsia" w:ascii="仿宋_GB2312" w:hAnsi="微软雅黑" w:eastAsia="仿宋_GB2312"/>
          <w:sz w:val="32"/>
          <w:szCs w:val="32"/>
        </w:rPr>
        <w:t>申请设置本科院校：</w:t>
      </w:r>
    </w:p>
    <w:p>
      <w:pPr>
        <w:pStyle w:val="9"/>
        <w:widowControl w:val="0"/>
        <w:shd w:val="clear" w:color="auto" w:fill="FFFFFF"/>
        <w:spacing w:before="0" w:beforeAutospacing="0" w:after="0" w:afterAutospacing="0" w:line="580" w:lineRule="exact"/>
        <w:ind w:firstLine="640" w:firstLineChars="200"/>
        <w:jc w:val="both"/>
        <w:rPr>
          <w:rFonts w:ascii="仿宋_GB2312" w:hAnsi="微软雅黑" w:eastAsia="仿宋_GB2312"/>
          <w:sz w:val="32"/>
          <w:szCs w:val="32"/>
        </w:rPr>
      </w:pPr>
      <w:r>
        <w:rPr>
          <w:rFonts w:hint="eastAsia" w:ascii="仿宋_GB2312" w:hAnsi="微软雅黑" w:eastAsia="仿宋_GB2312"/>
          <w:sz w:val="32"/>
          <w:szCs w:val="32"/>
        </w:rPr>
        <w:t>（一）申报时间。省教育厅每年5月至10月受理本科院校设置申报事项。</w:t>
      </w:r>
    </w:p>
    <w:p>
      <w:pPr>
        <w:pStyle w:val="9"/>
        <w:widowControl w:val="0"/>
        <w:shd w:val="clear" w:color="auto" w:fill="FFFFFF"/>
        <w:spacing w:before="0" w:beforeAutospacing="0" w:after="0" w:afterAutospacing="0" w:line="580" w:lineRule="exact"/>
        <w:ind w:firstLine="640" w:firstLineChars="200"/>
        <w:jc w:val="both"/>
        <w:rPr>
          <w:rFonts w:ascii="仿宋_GB2312" w:hAnsi="微软雅黑" w:eastAsia="仿宋_GB2312"/>
          <w:sz w:val="32"/>
          <w:szCs w:val="32"/>
        </w:rPr>
      </w:pPr>
      <w:r>
        <w:rPr>
          <w:rFonts w:hint="eastAsia" w:ascii="仿宋_GB2312" w:hAnsi="微软雅黑" w:eastAsia="仿宋_GB2312"/>
          <w:sz w:val="32"/>
          <w:szCs w:val="32"/>
        </w:rPr>
        <w:t>（二）申报主体。举办者申请设置本科院校，需经学校所在地设区市人民政府或主管的省直单位向省教育厅提出申请，省属高校直接由学校向省教育厅提出申请，并附论证报告及拟设学校的章程。</w:t>
      </w:r>
    </w:p>
    <w:p>
      <w:pPr>
        <w:pStyle w:val="9"/>
        <w:widowControl w:val="0"/>
        <w:shd w:val="clear" w:color="auto" w:fill="FFFFFF"/>
        <w:spacing w:before="0" w:beforeAutospacing="0" w:after="0" w:afterAutospacing="0" w:line="580" w:lineRule="exact"/>
        <w:ind w:firstLine="640" w:firstLineChars="200"/>
        <w:jc w:val="both"/>
        <w:rPr>
          <w:rFonts w:ascii="仿宋_GB2312" w:hAnsi="微软雅黑" w:eastAsia="仿宋_GB2312"/>
          <w:sz w:val="32"/>
          <w:szCs w:val="32"/>
        </w:rPr>
      </w:pPr>
      <w:r>
        <w:rPr>
          <w:rFonts w:hint="eastAsia" w:ascii="仿宋_GB2312" w:hAnsi="微软雅黑" w:eastAsia="仿宋_GB2312"/>
          <w:sz w:val="32"/>
          <w:szCs w:val="32"/>
        </w:rPr>
        <w:t>（三）形式审查。省教育厅组织省高评委专家对申报材料进行形式审查，对不符合设置条件的单位作出答复，符合条件的列入实地考察学校名单。</w:t>
      </w:r>
    </w:p>
    <w:p>
      <w:pPr>
        <w:pStyle w:val="9"/>
        <w:widowControl w:val="0"/>
        <w:shd w:val="clear" w:color="auto" w:fill="FFFFFF"/>
        <w:spacing w:before="0" w:beforeAutospacing="0" w:after="0" w:afterAutospacing="0" w:line="580" w:lineRule="exact"/>
        <w:ind w:firstLine="640" w:firstLineChars="200"/>
        <w:jc w:val="both"/>
        <w:rPr>
          <w:rFonts w:ascii="仿宋_GB2312" w:hAnsi="微软雅黑" w:eastAsia="仿宋_GB2312"/>
          <w:sz w:val="32"/>
          <w:szCs w:val="32"/>
        </w:rPr>
      </w:pPr>
      <w:r>
        <w:rPr>
          <w:rFonts w:hint="eastAsia" w:ascii="仿宋_GB2312" w:hAnsi="微软雅黑" w:eastAsia="仿宋_GB2312"/>
          <w:sz w:val="32"/>
          <w:szCs w:val="32"/>
        </w:rPr>
        <w:t>（四）实地考察。省教育厅组织省高评委专家和发改、财政、编制等有关部门共同进行实地考察，形成考察论证报告。</w:t>
      </w:r>
    </w:p>
    <w:p>
      <w:pPr>
        <w:pStyle w:val="9"/>
        <w:widowControl w:val="0"/>
        <w:shd w:val="clear" w:color="auto" w:fill="FFFFFF"/>
        <w:spacing w:before="0" w:beforeAutospacing="0" w:after="0" w:afterAutospacing="0" w:line="580" w:lineRule="exact"/>
        <w:ind w:firstLine="640" w:firstLineChars="200"/>
        <w:jc w:val="both"/>
        <w:rPr>
          <w:rFonts w:ascii="仿宋_GB2312" w:hAnsi="微软雅黑" w:eastAsia="仿宋_GB2312"/>
          <w:sz w:val="32"/>
          <w:szCs w:val="32"/>
        </w:rPr>
      </w:pPr>
      <w:r>
        <w:rPr>
          <w:rFonts w:hint="eastAsia" w:ascii="仿宋_GB2312" w:hAnsi="微软雅黑" w:eastAsia="仿宋_GB2312"/>
          <w:sz w:val="32"/>
          <w:szCs w:val="32"/>
        </w:rPr>
        <w:t>（五）省高评委会评议。对具备办学条件，达到设置标准的学校，省高评委召开专题会议进行评议投票，形成评议意见。专家到会人数超过省高评委总人数2/3的为有效，赞成票超过到会人数2/3的为通过。</w:t>
      </w:r>
    </w:p>
    <w:p>
      <w:pPr>
        <w:pStyle w:val="9"/>
        <w:widowControl w:val="0"/>
        <w:shd w:val="clear" w:color="auto" w:fill="FFFFFF"/>
        <w:spacing w:before="0" w:beforeAutospacing="0" w:after="0" w:afterAutospacing="0" w:line="580" w:lineRule="exact"/>
        <w:ind w:firstLine="640" w:firstLineChars="200"/>
        <w:jc w:val="both"/>
        <w:rPr>
          <w:rFonts w:ascii="仿宋_GB2312" w:hAnsi="微软雅黑" w:eastAsia="仿宋_GB2312"/>
          <w:sz w:val="32"/>
          <w:szCs w:val="32"/>
        </w:rPr>
      </w:pPr>
      <w:r>
        <w:rPr>
          <w:rFonts w:hint="eastAsia" w:ascii="仿宋_GB2312" w:hAnsi="微软雅黑" w:eastAsia="仿宋_GB2312"/>
          <w:sz w:val="32"/>
          <w:szCs w:val="32"/>
        </w:rPr>
        <w:t>（六）对外公示。对通过省高评委会评议的学校，在省教育厅门户网站公示学校基本办学条件，接受社会监督。</w:t>
      </w:r>
    </w:p>
    <w:p>
      <w:pPr>
        <w:pStyle w:val="9"/>
        <w:widowControl w:val="0"/>
        <w:shd w:val="clear" w:color="auto" w:fill="FFFFFF"/>
        <w:spacing w:before="0" w:beforeAutospacing="0" w:after="0" w:afterAutospacing="0" w:line="580" w:lineRule="exact"/>
        <w:ind w:firstLine="640" w:firstLineChars="200"/>
        <w:jc w:val="both"/>
        <w:rPr>
          <w:rFonts w:ascii="仿宋_GB2312" w:hAnsi="微软雅黑" w:eastAsia="仿宋_GB2312"/>
          <w:sz w:val="32"/>
          <w:szCs w:val="32"/>
        </w:rPr>
      </w:pPr>
      <w:r>
        <w:rPr>
          <w:rFonts w:hint="eastAsia" w:ascii="仿宋_GB2312" w:hAnsi="微软雅黑" w:eastAsia="仿宋_GB2312"/>
          <w:sz w:val="32"/>
          <w:szCs w:val="32"/>
        </w:rPr>
        <w:t>（七）研究审议。对公示无异议的学校，提交厅长办公会进行研究审议，确定提请省政府函报教育部审批的学校名单。</w:t>
      </w:r>
    </w:p>
    <w:p>
      <w:pPr>
        <w:pStyle w:val="9"/>
        <w:widowControl w:val="0"/>
        <w:shd w:val="clear" w:color="auto" w:fill="FFFFFF"/>
        <w:spacing w:before="0" w:beforeAutospacing="0" w:after="0" w:afterAutospacing="0" w:line="580" w:lineRule="exact"/>
        <w:ind w:firstLine="640" w:firstLineChars="200"/>
        <w:jc w:val="both"/>
        <w:rPr>
          <w:rFonts w:ascii="仿宋_GB2312" w:hAnsi="微软雅黑" w:eastAsia="仿宋_GB2312"/>
          <w:sz w:val="32"/>
          <w:szCs w:val="32"/>
        </w:rPr>
      </w:pPr>
      <w:r>
        <w:rPr>
          <w:rFonts w:hint="eastAsia" w:ascii="仿宋_GB2312" w:hAnsi="微软雅黑" w:eastAsia="仿宋_GB2312"/>
          <w:sz w:val="32"/>
          <w:szCs w:val="32"/>
        </w:rPr>
        <w:t>（八）函报教育部。省教育厅向省政府提出拟设置本科学校的请示，报请省政府同意后，由省政府向教育部提出设置申请，并附论证报告及拟设学校的章程。</w:t>
      </w:r>
    </w:p>
    <w:p>
      <w:pPr>
        <w:pStyle w:val="9"/>
        <w:widowControl w:val="0"/>
        <w:shd w:val="clear" w:color="auto" w:fill="FFFFFF"/>
        <w:spacing w:before="0" w:beforeAutospacing="0" w:after="0" w:afterAutospacing="0" w:line="580" w:lineRule="exact"/>
        <w:ind w:firstLine="640" w:firstLineChars="200"/>
        <w:jc w:val="both"/>
        <w:rPr>
          <w:rFonts w:ascii="仿宋_GB2312" w:hAnsi="微软雅黑" w:eastAsia="仿宋_GB2312"/>
          <w:sz w:val="32"/>
          <w:szCs w:val="32"/>
        </w:rPr>
      </w:pPr>
      <w:r>
        <w:rPr>
          <w:rFonts w:hint="eastAsia" w:ascii="仿宋_GB2312" w:hAnsi="微软雅黑" w:eastAsia="仿宋_GB2312"/>
          <w:sz w:val="32"/>
          <w:szCs w:val="32"/>
        </w:rPr>
        <w:t>（九）教育部审批。由省政府提出申请设置的普通本科学校，在经由教育部形式审查通过后，由教育部委托全国高校设置评议委员会进行考察、评议；通过考察、评议的学校，由教育部正式批准设立。未通过教育部形式审查或未通过全国高校设置评议委员会考察、评议的学校，若仍需设置，需在下次由省政府重新向教育部提出申请。</w:t>
      </w:r>
    </w:p>
    <w:p>
      <w:pPr>
        <w:pStyle w:val="9"/>
        <w:widowControl w:val="0"/>
        <w:shd w:val="clear" w:color="auto" w:fill="FFFFFF"/>
        <w:spacing w:before="0" w:beforeAutospacing="0" w:after="0" w:afterAutospacing="0" w:line="580" w:lineRule="exact"/>
        <w:ind w:firstLine="643" w:firstLineChars="200"/>
        <w:jc w:val="both"/>
        <w:rPr>
          <w:rFonts w:ascii="仿宋_GB2312" w:hAnsi="微软雅黑" w:eastAsia="仿宋_GB2312"/>
          <w:sz w:val="32"/>
          <w:szCs w:val="32"/>
        </w:rPr>
      </w:pPr>
      <w:r>
        <w:rPr>
          <w:rFonts w:hint="eastAsia" w:ascii="仿宋_GB2312" w:hAnsi="微软雅黑" w:eastAsia="仿宋_GB2312"/>
          <w:b/>
          <w:sz w:val="32"/>
          <w:szCs w:val="32"/>
        </w:rPr>
        <w:t>第十一条</w:t>
      </w:r>
      <w:r>
        <w:rPr>
          <w:rFonts w:hint="eastAsia" w:ascii="仿宋_GB2312" w:hAnsi="微软雅黑" w:eastAsia="仿宋_GB2312"/>
          <w:sz w:val="32"/>
          <w:szCs w:val="32"/>
        </w:rPr>
        <w:t xml:space="preserve"> 申请设置专科学历教育高等学校：</w:t>
      </w:r>
    </w:p>
    <w:p>
      <w:pPr>
        <w:pStyle w:val="9"/>
        <w:widowControl w:val="0"/>
        <w:shd w:val="clear" w:color="auto" w:fill="FFFFFF"/>
        <w:spacing w:before="0" w:beforeAutospacing="0" w:after="0" w:afterAutospacing="0" w:line="580" w:lineRule="exact"/>
        <w:ind w:firstLine="640" w:firstLineChars="200"/>
        <w:jc w:val="both"/>
        <w:rPr>
          <w:rFonts w:ascii="仿宋_GB2312" w:hAnsi="微软雅黑" w:eastAsia="仿宋_GB2312"/>
          <w:sz w:val="32"/>
          <w:szCs w:val="32"/>
        </w:rPr>
      </w:pPr>
      <w:r>
        <w:rPr>
          <w:rFonts w:hint="eastAsia" w:ascii="仿宋_GB2312" w:hAnsi="微软雅黑" w:eastAsia="仿宋_GB2312"/>
          <w:sz w:val="32"/>
          <w:szCs w:val="32"/>
        </w:rPr>
        <w:t>（一）申报时间。省教育厅每年5月至次年1月受理专科学历教育高等学校设置申报事项。</w:t>
      </w:r>
    </w:p>
    <w:p>
      <w:pPr>
        <w:pStyle w:val="9"/>
        <w:widowControl w:val="0"/>
        <w:shd w:val="clear" w:color="auto" w:fill="FFFFFF"/>
        <w:spacing w:before="0" w:beforeAutospacing="0" w:after="0" w:afterAutospacing="0" w:line="580" w:lineRule="exact"/>
        <w:ind w:firstLine="640" w:firstLineChars="200"/>
        <w:jc w:val="both"/>
        <w:rPr>
          <w:rFonts w:ascii="仿宋_GB2312" w:hAnsi="微软雅黑" w:eastAsia="仿宋_GB2312"/>
          <w:sz w:val="32"/>
          <w:szCs w:val="32"/>
        </w:rPr>
      </w:pPr>
      <w:r>
        <w:rPr>
          <w:rFonts w:hint="eastAsia" w:ascii="仿宋_GB2312" w:hAnsi="微软雅黑" w:eastAsia="仿宋_GB2312"/>
          <w:sz w:val="32"/>
          <w:szCs w:val="32"/>
        </w:rPr>
        <w:t>（二）申报主体。举办者申请设置专科学历教育高等学校，需经学校所在地设区市人民政府或主管的省直单位向省教育厅提出申请，并附论证报告及拟设学校的章程。</w:t>
      </w:r>
    </w:p>
    <w:p>
      <w:pPr>
        <w:pStyle w:val="9"/>
        <w:widowControl w:val="0"/>
        <w:shd w:val="clear" w:color="auto" w:fill="FFFFFF"/>
        <w:spacing w:before="0" w:beforeAutospacing="0" w:after="0" w:afterAutospacing="0" w:line="580" w:lineRule="exact"/>
        <w:ind w:firstLine="640" w:firstLineChars="200"/>
        <w:jc w:val="both"/>
        <w:rPr>
          <w:rFonts w:ascii="仿宋_GB2312" w:hAnsi="微软雅黑" w:eastAsia="仿宋_GB2312"/>
          <w:sz w:val="32"/>
          <w:szCs w:val="32"/>
        </w:rPr>
      </w:pPr>
      <w:r>
        <w:rPr>
          <w:rFonts w:hint="eastAsia" w:ascii="仿宋_GB2312" w:hAnsi="微软雅黑" w:eastAsia="仿宋_GB2312"/>
          <w:sz w:val="32"/>
          <w:szCs w:val="32"/>
        </w:rPr>
        <w:t>（三）形式审查。省教育厅组织省高评委专家对申报材料进行形式审查，对不符合设置条件的单位作出答复，符合条件的列入实地考察学校名单。</w:t>
      </w:r>
    </w:p>
    <w:p>
      <w:pPr>
        <w:pStyle w:val="9"/>
        <w:widowControl w:val="0"/>
        <w:shd w:val="clear" w:color="auto" w:fill="FFFFFF"/>
        <w:spacing w:before="0" w:beforeAutospacing="0" w:after="0" w:afterAutospacing="0" w:line="580" w:lineRule="exact"/>
        <w:ind w:firstLine="640" w:firstLineChars="200"/>
        <w:jc w:val="both"/>
        <w:rPr>
          <w:rFonts w:ascii="仿宋_GB2312" w:hAnsi="微软雅黑" w:eastAsia="仿宋_GB2312"/>
          <w:sz w:val="32"/>
          <w:szCs w:val="32"/>
        </w:rPr>
      </w:pPr>
      <w:r>
        <w:rPr>
          <w:rFonts w:hint="eastAsia" w:ascii="仿宋_GB2312" w:hAnsi="微软雅黑" w:eastAsia="仿宋_GB2312"/>
          <w:sz w:val="32"/>
          <w:szCs w:val="32"/>
        </w:rPr>
        <w:t>（四）实地考察。省教育厅组织省高评委专家和发改、财政、编制等有关部门共同进行实地考察，形成考察论证报告。</w:t>
      </w:r>
    </w:p>
    <w:p>
      <w:pPr>
        <w:pStyle w:val="9"/>
        <w:widowControl w:val="0"/>
        <w:shd w:val="clear" w:color="auto" w:fill="FFFFFF"/>
        <w:spacing w:before="0" w:beforeAutospacing="0" w:after="0" w:afterAutospacing="0" w:line="580" w:lineRule="exact"/>
        <w:ind w:firstLine="640" w:firstLineChars="200"/>
        <w:jc w:val="both"/>
        <w:rPr>
          <w:rFonts w:ascii="仿宋_GB2312" w:hAnsi="微软雅黑" w:eastAsia="仿宋_GB2312"/>
          <w:sz w:val="32"/>
          <w:szCs w:val="32"/>
        </w:rPr>
      </w:pPr>
      <w:r>
        <w:rPr>
          <w:rFonts w:hint="eastAsia" w:ascii="仿宋_GB2312" w:hAnsi="微软雅黑" w:eastAsia="仿宋_GB2312"/>
          <w:sz w:val="32"/>
          <w:szCs w:val="32"/>
        </w:rPr>
        <w:t>（五）省高评委会评议。对具备办学条件，达到设置标准的学校，省高评委召开专题会议进行评议投票，形成评议意见。专家到会人数超过省高评委总人数2/3的为有效，赞成票超过到会人数2/3的为通过。</w:t>
      </w:r>
    </w:p>
    <w:p>
      <w:pPr>
        <w:pStyle w:val="9"/>
        <w:widowControl w:val="0"/>
        <w:shd w:val="clear" w:color="auto" w:fill="FFFFFF"/>
        <w:spacing w:before="0" w:beforeAutospacing="0" w:after="0" w:afterAutospacing="0" w:line="580" w:lineRule="exact"/>
        <w:ind w:firstLine="640" w:firstLineChars="200"/>
        <w:jc w:val="both"/>
        <w:rPr>
          <w:rFonts w:ascii="仿宋_GB2312" w:hAnsi="微软雅黑" w:eastAsia="仿宋_GB2312"/>
          <w:sz w:val="32"/>
          <w:szCs w:val="32"/>
        </w:rPr>
      </w:pPr>
      <w:r>
        <w:rPr>
          <w:rFonts w:hint="eastAsia" w:ascii="仿宋_GB2312" w:hAnsi="微软雅黑" w:eastAsia="仿宋_GB2312"/>
          <w:sz w:val="32"/>
          <w:szCs w:val="32"/>
        </w:rPr>
        <w:t>（六）对外公示。对通过省高评委会评议的学校，在省教育厅门户网站公示学校基本办学条件，接受社会监督。</w:t>
      </w:r>
    </w:p>
    <w:p>
      <w:pPr>
        <w:pStyle w:val="9"/>
        <w:widowControl w:val="0"/>
        <w:shd w:val="clear" w:color="auto" w:fill="FFFFFF"/>
        <w:spacing w:before="0" w:beforeAutospacing="0" w:after="0" w:afterAutospacing="0" w:line="580" w:lineRule="exact"/>
        <w:ind w:firstLine="640" w:firstLineChars="200"/>
        <w:jc w:val="both"/>
        <w:rPr>
          <w:rFonts w:ascii="仿宋_GB2312" w:hAnsi="微软雅黑" w:eastAsia="仿宋_GB2312"/>
          <w:sz w:val="32"/>
          <w:szCs w:val="32"/>
        </w:rPr>
      </w:pPr>
      <w:r>
        <w:rPr>
          <w:rFonts w:hint="eastAsia" w:ascii="仿宋_GB2312" w:hAnsi="微软雅黑" w:eastAsia="仿宋_GB2312"/>
          <w:sz w:val="32"/>
          <w:szCs w:val="32"/>
        </w:rPr>
        <w:t>（七）研究审议。对公示无异议的学校，提交厅长办公会进行研究审议，确定提请省政府审批的学校名单。</w:t>
      </w:r>
    </w:p>
    <w:p>
      <w:pPr>
        <w:pStyle w:val="9"/>
        <w:widowControl w:val="0"/>
        <w:shd w:val="clear" w:color="auto" w:fill="FFFFFF"/>
        <w:spacing w:before="0" w:beforeAutospacing="0" w:after="0" w:afterAutospacing="0" w:line="580" w:lineRule="exact"/>
        <w:ind w:firstLine="640" w:firstLineChars="200"/>
        <w:jc w:val="both"/>
        <w:rPr>
          <w:rFonts w:ascii="仿宋_GB2312" w:hAnsi="微软雅黑" w:eastAsia="仿宋_GB2312"/>
          <w:sz w:val="32"/>
          <w:szCs w:val="32"/>
        </w:rPr>
      </w:pPr>
      <w:r>
        <w:rPr>
          <w:rFonts w:hint="eastAsia" w:ascii="仿宋_GB2312" w:hAnsi="微软雅黑" w:eastAsia="仿宋_GB2312"/>
          <w:sz w:val="32"/>
          <w:szCs w:val="32"/>
        </w:rPr>
        <w:t>（八）省政府审批。省教育厅向省政府提出拟设置专科学历教育高等学校的请示，由省政府审批。</w:t>
      </w:r>
    </w:p>
    <w:p>
      <w:pPr>
        <w:pStyle w:val="9"/>
        <w:widowControl w:val="0"/>
        <w:shd w:val="clear" w:color="auto" w:fill="FFFFFF"/>
        <w:spacing w:before="0" w:beforeAutospacing="0" w:after="0" w:afterAutospacing="0" w:line="580" w:lineRule="exact"/>
        <w:ind w:firstLine="640" w:firstLineChars="200"/>
        <w:jc w:val="both"/>
        <w:rPr>
          <w:rFonts w:ascii="仿宋_GB2312" w:hAnsi="微软雅黑" w:eastAsia="仿宋_GB2312"/>
          <w:sz w:val="32"/>
          <w:szCs w:val="32"/>
        </w:rPr>
      </w:pPr>
      <w:r>
        <w:rPr>
          <w:rFonts w:hint="eastAsia" w:ascii="仿宋_GB2312" w:hAnsi="微软雅黑" w:eastAsia="仿宋_GB2312"/>
          <w:sz w:val="32"/>
          <w:szCs w:val="32"/>
        </w:rPr>
        <w:t>（九）教育部备案。将省政府正式审批拟设置的高职院校函报教育部备案，教育部按照院校设置规定进行审查，审查合格后印发备案通知，学校正式设置。</w:t>
      </w:r>
    </w:p>
    <w:p>
      <w:pPr>
        <w:pStyle w:val="9"/>
        <w:widowControl w:val="0"/>
        <w:shd w:val="clear" w:color="auto" w:fill="FFFFFF"/>
        <w:spacing w:before="0" w:beforeAutospacing="0" w:after="0" w:afterAutospacing="0" w:line="580" w:lineRule="exact"/>
        <w:jc w:val="center"/>
        <w:rPr>
          <w:rFonts w:ascii="黑体" w:hAnsi="黑体" w:eastAsia="黑体"/>
          <w:sz w:val="32"/>
          <w:szCs w:val="32"/>
        </w:rPr>
      </w:pPr>
    </w:p>
    <w:p>
      <w:pPr>
        <w:pStyle w:val="9"/>
        <w:widowControl w:val="0"/>
        <w:shd w:val="clear" w:color="auto" w:fill="FFFFFF"/>
        <w:spacing w:before="0" w:beforeAutospacing="0" w:after="0" w:afterAutospacing="0" w:line="580" w:lineRule="exact"/>
        <w:jc w:val="center"/>
        <w:rPr>
          <w:rFonts w:ascii="黑体" w:hAnsi="黑体" w:eastAsia="黑体"/>
          <w:sz w:val="32"/>
          <w:szCs w:val="32"/>
        </w:rPr>
      </w:pPr>
      <w:r>
        <w:rPr>
          <w:rFonts w:hint="eastAsia" w:ascii="黑体" w:hAnsi="黑体" w:eastAsia="黑体"/>
          <w:sz w:val="32"/>
          <w:szCs w:val="32"/>
        </w:rPr>
        <w:t>第五章 申报材料</w:t>
      </w:r>
    </w:p>
    <w:p>
      <w:pPr>
        <w:pStyle w:val="9"/>
        <w:widowControl w:val="0"/>
        <w:shd w:val="clear" w:color="auto" w:fill="FFFFFF"/>
        <w:spacing w:before="0" w:beforeAutospacing="0" w:after="0" w:afterAutospacing="0" w:line="580" w:lineRule="exact"/>
        <w:ind w:firstLine="643" w:firstLineChars="200"/>
        <w:jc w:val="both"/>
        <w:rPr>
          <w:rFonts w:ascii="仿宋_GB2312" w:hAnsi="微软雅黑" w:eastAsia="仿宋_GB2312"/>
          <w:sz w:val="32"/>
          <w:szCs w:val="32"/>
        </w:rPr>
      </w:pPr>
      <w:r>
        <w:rPr>
          <w:rStyle w:val="13"/>
          <w:rFonts w:hint="eastAsia" w:ascii="仿宋_GB2312" w:hAnsi="微软雅黑" w:eastAsia="仿宋_GB2312"/>
          <w:sz w:val="32"/>
          <w:szCs w:val="32"/>
        </w:rPr>
        <w:t xml:space="preserve">第十二条 </w:t>
      </w:r>
      <w:r>
        <w:rPr>
          <w:rFonts w:hint="eastAsia" w:ascii="仿宋_GB2312" w:hAnsi="微软雅黑" w:eastAsia="仿宋_GB2312"/>
          <w:sz w:val="32"/>
          <w:szCs w:val="32"/>
        </w:rPr>
        <w:t>申请设置高等学校应当提交的材料：</w:t>
      </w:r>
    </w:p>
    <w:p>
      <w:pPr>
        <w:pStyle w:val="9"/>
        <w:widowControl w:val="0"/>
        <w:shd w:val="clear" w:color="auto" w:fill="FFFFFF"/>
        <w:spacing w:before="0" w:beforeAutospacing="0" w:after="0" w:afterAutospacing="0" w:line="580" w:lineRule="exact"/>
        <w:ind w:firstLine="640" w:firstLineChars="200"/>
        <w:jc w:val="both"/>
        <w:rPr>
          <w:rFonts w:ascii="仿宋_GB2312" w:hAnsi="微软雅黑" w:eastAsia="仿宋_GB2312"/>
          <w:sz w:val="32"/>
          <w:szCs w:val="32"/>
        </w:rPr>
      </w:pPr>
      <w:r>
        <w:rPr>
          <w:rFonts w:hint="eastAsia" w:ascii="仿宋_GB2312" w:hAnsi="微软雅黑" w:eastAsia="仿宋_GB2312"/>
          <w:sz w:val="32"/>
          <w:szCs w:val="32"/>
        </w:rPr>
        <w:t>（一）申报函；</w:t>
      </w:r>
    </w:p>
    <w:p>
      <w:pPr>
        <w:pStyle w:val="9"/>
        <w:widowControl w:val="0"/>
        <w:shd w:val="clear" w:color="auto" w:fill="FFFFFF"/>
        <w:spacing w:before="0" w:beforeAutospacing="0" w:after="0" w:afterAutospacing="0" w:line="580" w:lineRule="exact"/>
        <w:ind w:firstLine="640" w:firstLineChars="200"/>
        <w:jc w:val="both"/>
        <w:rPr>
          <w:rFonts w:ascii="仿宋_GB2312" w:hAnsi="微软雅黑" w:eastAsia="仿宋_GB2312"/>
          <w:sz w:val="32"/>
          <w:szCs w:val="32"/>
        </w:rPr>
      </w:pPr>
      <w:r>
        <w:rPr>
          <w:rFonts w:hint="eastAsia" w:ascii="仿宋_GB2312" w:hAnsi="微软雅黑" w:eastAsia="仿宋_GB2312"/>
          <w:sz w:val="32"/>
          <w:szCs w:val="32"/>
        </w:rPr>
        <w:t>（二）设置高等学校的论证报告；</w:t>
      </w:r>
    </w:p>
    <w:p>
      <w:pPr>
        <w:pStyle w:val="9"/>
        <w:widowControl w:val="0"/>
        <w:shd w:val="clear" w:color="auto" w:fill="FFFFFF"/>
        <w:spacing w:before="0" w:beforeAutospacing="0" w:after="0" w:afterAutospacing="0" w:line="580" w:lineRule="exact"/>
        <w:ind w:firstLine="640" w:firstLineChars="200"/>
        <w:jc w:val="both"/>
        <w:rPr>
          <w:rFonts w:ascii="仿宋_GB2312" w:hAnsi="微软雅黑" w:eastAsia="仿宋_GB2312"/>
          <w:sz w:val="32"/>
          <w:szCs w:val="32"/>
        </w:rPr>
      </w:pPr>
      <w:r>
        <w:rPr>
          <w:rFonts w:hint="eastAsia" w:ascii="仿宋_GB2312" w:hAnsi="微软雅黑" w:eastAsia="仿宋_GB2312"/>
          <w:sz w:val="32"/>
          <w:szCs w:val="32"/>
        </w:rPr>
        <w:t>（三）专家考察报告（由省教育厅委托省高评委专家提供）；</w:t>
      </w:r>
    </w:p>
    <w:p>
      <w:pPr>
        <w:pStyle w:val="9"/>
        <w:widowControl w:val="0"/>
        <w:shd w:val="clear" w:color="auto" w:fill="FFFFFF"/>
        <w:spacing w:before="0" w:beforeAutospacing="0" w:after="0" w:afterAutospacing="0" w:line="580" w:lineRule="exact"/>
        <w:ind w:firstLine="640" w:firstLineChars="200"/>
        <w:jc w:val="both"/>
        <w:rPr>
          <w:rFonts w:ascii="仿宋_GB2312" w:hAnsi="微软雅黑" w:eastAsia="仿宋_GB2312"/>
          <w:sz w:val="32"/>
          <w:szCs w:val="32"/>
        </w:rPr>
      </w:pPr>
      <w:r>
        <w:rPr>
          <w:rFonts w:hint="eastAsia" w:ascii="仿宋_GB2312" w:hAnsi="微软雅黑" w:eastAsia="仿宋_GB2312"/>
          <w:sz w:val="32"/>
          <w:szCs w:val="32"/>
        </w:rPr>
        <w:t>（四）学校章程；</w:t>
      </w:r>
    </w:p>
    <w:p>
      <w:pPr>
        <w:pStyle w:val="9"/>
        <w:widowControl w:val="0"/>
        <w:shd w:val="clear" w:color="auto" w:fill="FFFFFF"/>
        <w:spacing w:before="0" w:beforeAutospacing="0" w:after="0" w:afterAutospacing="0" w:line="580" w:lineRule="exact"/>
        <w:ind w:firstLine="640" w:firstLineChars="200"/>
        <w:jc w:val="both"/>
        <w:rPr>
          <w:rFonts w:ascii="仿宋_GB2312" w:hAnsi="微软雅黑" w:eastAsia="仿宋_GB2312"/>
          <w:sz w:val="32"/>
          <w:szCs w:val="32"/>
        </w:rPr>
      </w:pPr>
      <w:r>
        <w:rPr>
          <w:rFonts w:hint="eastAsia" w:ascii="仿宋_GB2312" w:hAnsi="微软雅黑" w:eastAsia="仿宋_GB2312"/>
          <w:sz w:val="32"/>
          <w:szCs w:val="32"/>
        </w:rPr>
        <w:t>（五）稳定风险评估报告；</w:t>
      </w:r>
    </w:p>
    <w:p>
      <w:pPr>
        <w:pStyle w:val="9"/>
        <w:widowControl w:val="0"/>
        <w:shd w:val="clear" w:color="auto" w:fill="FFFFFF"/>
        <w:spacing w:before="0" w:beforeAutospacing="0" w:after="0" w:afterAutospacing="0" w:line="580" w:lineRule="exact"/>
        <w:ind w:firstLine="640" w:firstLineChars="200"/>
        <w:jc w:val="both"/>
        <w:rPr>
          <w:rFonts w:ascii="仿宋_GB2312" w:hAnsi="微软雅黑" w:eastAsia="仿宋_GB2312"/>
          <w:sz w:val="32"/>
          <w:szCs w:val="32"/>
        </w:rPr>
      </w:pPr>
      <w:r>
        <w:rPr>
          <w:rFonts w:hint="eastAsia" w:ascii="仿宋_GB2312" w:hAnsi="微软雅黑" w:eastAsia="仿宋_GB2312"/>
          <w:sz w:val="32"/>
          <w:szCs w:val="32"/>
        </w:rPr>
        <w:t>（六）申请设置民办高等学校还应按照《民办教育促进法》《营利性民办学校监督管理实施细则》等要求提供有关材料；</w:t>
      </w:r>
    </w:p>
    <w:p>
      <w:pPr>
        <w:pStyle w:val="9"/>
        <w:widowControl w:val="0"/>
        <w:shd w:val="clear" w:color="auto" w:fill="FFFFFF"/>
        <w:spacing w:before="0" w:beforeAutospacing="0" w:after="0" w:afterAutospacing="0" w:line="580" w:lineRule="exact"/>
        <w:ind w:firstLine="640" w:firstLineChars="200"/>
        <w:jc w:val="both"/>
        <w:rPr>
          <w:rFonts w:ascii="仿宋_GB2312" w:hAnsi="微软雅黑" w:eastAsia="仿宋_GB2312"/>
          <w:sz w:val="32"/>
          <w:szCs w:val="32"/>
        </w:rPr>
      </w:pPr>
      <w:r>
        <w:rPr>
          <w:rFonts w:hint="eastAsia" w:ascii="仿宋_GB2312" w:hAnsi="微软雅黑" w:eastAsia="仿宋_GB2312"/>
          <w:sz w:val="32"/>
          <w:szCs w:val="32"/>
        </w:rPr>
        <w:t>具体的材料内容详见附件申报材料清单。</w:t>
      </w:r>
    </w:p>
    <w:p>
      <w:pPr>
        <w:pStyle w:val="9"/>
        <w:widowControl w:val="0"/>
        <w:shd w:val="clear" w:color="auto" w:fill="FFFFFF"/>
        <w:spacing w:before="0" w:beforeAutospacing="0" w:after="0" w:afterAutospacing="0" w:line="580" w:lineRule="exact"/>
        <w:jc w:val="center"/>
        <w:rPr>
          <w:rFonts w:ascii="黑体" w:hAnsi="黑体" w:eastAsia="黑体"/>
          <w:sz w:val="32"/>
          <w:szCs w:val="32"/>
        </w:rPr>
      </w:pPr>
    </w:p>
    <w:p>
      <w:pPr>
        <w:pStyle w:val="9"/>
        <w:widowControl w:val="0"/>
        <w:shd w:val="clear" w:color="auto" w:fill="FFFFFF"/>
        <w:spacing w:before="0" w:beforeAutospacing="0" w:after="0" w:afterAutospacing="0" w:line="580" w:lineRule="exact"/>
        <w:jc w:val="center"/>
        <w:rPr>
          <w:rFonts w:ascii="黑体" w:hAnsi="黑体" w:eastAsia="黑体"/>
          <w:sz w:val="32"/>
          <w:szCs w:val="32"/>
        </w:rPr>
      </w:pPr>
      <w:r>
        <w:rPr>
          <w:rFonts w:hint="eastAsia" w:ascii="黑体" w:hAnsi="黑体" w:eastAsia="黑体"/>
          <w:sz w:val="32"/>
          <w:szCs w:val="32"/>
        </w:rPr>
        <w:t>第六章 监督管理</w:t>
      </w:r>
    </w:p>
    <w:p>
      <w:pPr>
        <w:pStyle w:val="9"/>
        <w:widowControl w:val="0"/>
        <w:shd w:val="clear" w:color="auto" w:fill="FFFFFF"/>
        <w:spacing w:before="0" w:beforeAutospacing="0" w:after="0" w:afterAutospacing="0" w:line="580" w:lineRule="exact"/>
        <w:ind w:firstLine="643" w:firstLineChars="200"/>
        <w:jc w:val="both"/>
        <w:rPr>
          <w:rFonts w:ascii="仿宋_GB2312" w:hAnsi="微软雅黑" w:eastAsia="仿宋_GB2312"/>
          <w:sz w:val="32"/>
          <w:szCs w:val="32"/>
        </w:rPr>
      </w:pPr>
      <w:r>
        <w:rPr>
          <w:rFonts w:hint="eastAsia" w:ascii="仿宋_GB2312" w:hAnsi="微软雅黑" w:eastAsia="仿宋_GB2312"/>
          <w:b/>
          <w:bCs/>
          <w:sz w:val="32"/>
          <w:szCs w:val="32"/>
        </w:rPr>
        <w:t xml:space="preserve">第十三条 </w:t>
      </w:r>
      <w:r>
        <w:rPr>
          <w:rFonts w:hint="eastAsia" w:ascii="仿宋_GB2312" w:hAnsi="微软雅黑" w:eastAsia="仿宋_GB2312"/>
          <w:bCs/>
          <w:sz w:val="32"/>
          <w:szCs w:val="32"/>
        </w:rPr>
        <w:t>强化日常监管，</w:t>
      </w:r>
      <w:r>
        <w:rPr>
          <w:rFonts w:hint="eastAsia" w:ascii="仿宋_GB2312" w:hAnsi="微软雅黑" w:eastAsia="仿宋_GB2312"/>
          <w:sz w:val="32"/>
          <w:szCs w:val="32"/>
        </w:rPr>
        <w:t>严格按照法律法规、政策规定开展高校设置工作，加强高校设置全过程信息公开，主动接受社会监督。加强对相关工作人员特别是党员领导干部的日常教育和管理，坚决排除服务对象的干扰，营造清廉和谐的工作氛围。建立健全廉政风险防控体系，落实监督问责机制，对存在严重违规行为的，按有关规定对相关责任人予以严肃问责。</w:t>
      </w:r>
    </w:p>
    <w:p>
      <w:pPr>
        <w:pStyle w:val="9"/>
        <w:widowControl w:val="0"/>
        <w:shd w:val="clear" w:color="auto" w:fill="FFFFFF"/>
        <w:spacing w:before="0" w:beforeAutospacing="0" w:after="0" w:afterAutospacing="0" w:line="580" w:lineRule="exact"/>
        <w:ind w:firstLine="643" w:firstLineChars="200"/>
        <w:jc w:val="both"/>
        <w:rPr>
          <w:rFonts w:ascii="仿宋_GB2312" w:hAnsi="微软雅黑" w:eastAsia="仿宋_GB2312"/>
          <w:sz w:val="32"/>
          <w:szCs w:val="32"/>
        </w:rPr>
      </w:pPr>
      <w:r>
        <w:rPr>
          <w:rFonts w:hint="eastAsia" w:ascii="仿宋_GB2312" w:hAnsi="微软雅黑" w:eastAsia="仿宋_GB2312"/>
          <w:b/>
          <w:bCs/>
          <w:sz w:val="32"/>
          <w:szCs w:val="32"/>
        </w:rPr>
        <w:t>第十四条</w:t>
      </w:r>
      <w:r>
        <w:rPr>
          <w:rFonts w:hint="eastAsia" w:ascii="仿宋_GB2312" w:hAnsi="微软雅黑" w:eastAsia="仿宋_GB2312"/>
          <w:sz w:val="32"/>
          <w:szCs w:val="32"/>
        </w:rPr>
        <w:t xml:space="preserve"> 强化专家决策咨询作用，遴选原则性强、业务精湛的高等教育领域专家学者，组建省高校设置评议委员会。充分发挥省高评委服务决策的谋划职能、指导区域发展和学校建设的咨议职能、把关高校设置的审评职能。省高评委专家深度参与全省高校设置的规划论证、考察评议、指导检查等工作。严格执行考察回避、保密等纪律要求，杜绝不正之风，确保客观公正、廉洁高效。</w:t>
      </w:r>
    </w:p>
    <w:p>
      <w:pPr>
        <w:pStyle w:val="9"/>
        <w:widowControl w:val="0"/>
        <w:shd w:val="clear" w:color="auto" w:fill="FFFFFF"/>
        <w:spacing w:before="0" w:beforeAutospacing="0" w:after="0" w:afterAutospacing="0" w:line="580" w:lineRule="exact"/>
        <w:ind w:firstLine="643" w:firstLineChars="200"/>
        <w:jc w:val="both"/>
        <w:rPr>
          <w:rFonts w:ascii="仿宋_GB2312" w:hAnsi="微软雅黑" w:eastAsia="仿宋_GB2312"/>
          <w:sz w:val="32"/>
          <w:szCs w:val="32"/>
        </w:rPr>
      </w:pPr>
      <w:r>
        <w:rPr>
          <w:rFonts w:hint="eastAsia" w:ascii="仿宋_GB2312" w:hAnsi="微软雅黑" w:eastAsia="仿宋_GB2312"/>
          <w:b/>
          <w:bCs/>
          <w:sz w:val="32"/>
          <w:szCs w:val="32"/>
        </w:rPr>
        <w:t>第十五条</w:t>
      </w:r>
      <w:r>
        <w:rPr>
          <w:rFonts w:hint="eastAsia" w:ascii="仿宋_GB2312" w:hAnsi="微软雅黑" w:eastAsia="仿宋_GB2312"/>
          <w:sz w:val="32"/>
          <w:szCs w:val="32"/>
        </w:rPr>
        <w:t xml:space="preserve"> 强化惩戒机制，对在申报纳规、审批设置等过程中存在弄虚作假行为的高等学校，将取消其列入省高等学校设置规划和申请设置的资格，并予以公开通报。建立健全高校设置风险防范机制，加强风险评估和舆情研判，未经审批的设置事项不得擅自对外宣传。严禁私设私建，违规招生，对因此带来的稳定和社会安全问题，将严肃追究相关单位和人员的责任。</w:t>
      </w:r>
    </w:p>
    <w:p>
      <w:pPr>
        <w:pStyle w:val="9"/>
        <w:widowControl w:val="0"/>
        <w:shd w:val="clear" w:color="auto" w:fill="FFFFFF"/>
        <w:spacing w:before="0" w:beforeAutospacing="0" w:after="0" w:afterAutospacing="0" w:line="580" w:lineRule="exact"/>
        <w:ind w:firstLine="643" w:firstLineChars="200"/>
        <w:jc w:val="both"/>
        <w:rPr>
          <w:rFonts w:ascii="仿宋_GB2312" w:hAnsi="微软雅黑" w:eastAsia="仿宋_GB2312"/>
          <w:sz w:val="32"/>
          <w:szCs w:val="32"/>
        </w:rPr>
      </w:pPr>
      <w:r>
        <w:rPr>
          <w:rFonts w:hint="eastAsia" w:ascii="仿宋_GB2312" w:hAnsi="微软雅黑" w:eastAsia="仿宋_GB2312"/>
          <w:b/>
          <w:sz w:val="32"/>
          <w:szCs w:val="32"/>
        </w:rPr>
        <w:t>第十六条</w:t>
      </w:r>
      <w:r>
        <w:rPr>
          <w:rFonts w:hint="eastAsia" w:ascii="仿宋_GB2312" w:hAnsi="微软雅黑" w:eastAsia="仿宋_GB2312"/>
          <w:sz w:val="32"/>
          <w:szCs w:val="32"/>
        </w:rPr>
        <w:t xml:space="preserve"> 强化监测评价和督导复查，对已设置高等学校的办学状况、办学条件、经费保障、教育质量等开展监测评价，将监测评价结果作为调控各地高等学校设置节奏的重要依据。适时组织专家开展督导和复查，对发现的问题，将督促相关部门、地方和学校依法依规及时整改。</w:t>
      </w:r>
    </w:p>
    <w:p>
      <w:pPr>
        <w:pStyle w:val="9"/>
        <w:widowControl w:val="0"/>
        <w:shd w:val="clear" w:color="auto" w:fill="FFFFFF"/>
        <w:spacing w:before="0" w:beforeAutospacing="0" w:after="0" w:afterAutospacing="0" w:line="580" w:lineRule="exact"/>
        <w:ind w:firstLine="640"/>
        <w:jc w:val="center"/>
        <w:rPr>
          <w:rFonts w:ascii="黑体" w:hAnsi="黑体" w:eastAsia="黑体"/>
          <w:sz w:val="32"/>
          <w:szCs w:val="32"/>
        </w:rPr>
      </w:pPr>
    </w:p>
    <w:p>
      <w:pPr>
        <w:pStyle w:val="9"/>
        <w:widowControl w:val="0"/>
        <w:shd w:val="clear" w:color="auto" w:fill="FFFFFF"/>
        <w:spacing w:before="0" w:beforeAutospacing="0" w:after="0" w:afterAutospacing="0" w:line="580" w:lineRule="exact"/>
        <w:jc w:val="center"/>
        <w:rPr>
          <w:rFonts w:ascii="仿宋_GB2312" w:hAnsi="微软雅黑" w:eastAsia="仿宋_GB2312"/>
          <w:sz w:val="32"/>
          <w:szCs w:val="32"/>
        </w:rPr>
      </w:pPr>
      <w:r>
        <w:rPr>
          <w:rFonts w:hint="eastAsia" w:ascii="黑体" w:hAnsi="黑体" w:eastAsia="黑体"/>
          <w:sz w:val="32"/>
          <w:szCs w:val="32"/>
        </w:rPr>
        <w:t>第七章 附则</w:t>
      </w:r>
    </w:p>
    <w:p>
      <w:pPr>
        <w:pStyle w:val="9"/>
        <w:widowControl w:val="0"/>
        <w:shd w:val="clear" w:color="auto" w:fill="FFFFFF"/>
        <w:spacing w:before="0" w:beforeAutospacing="0" w:after="0" w:afterAutospacing="0" w:line="580" w:lineRule="exact"/>
        <w:ind w:firstLine="643" w:firstLineChars="200"/>
        <w:jc w:val="both"/>
        <w:rPr>
          <w:rFonts w:ascii="仿宋_GB2312" w:hAnsi="微软雅黑" w:eastAsia="仿宋_GB2312"/>
          <w:sz w:val="32"/>
          <w:szCs w:val="32"/>
        </w:rPr>
      </w:pPr>
      <w:r>
        <w:rPr>
          <w:rStyle w:val="13"/>
          <w:rFonts w:hint="eastAsia" w:ascii="仿宋_GB2312" w:hAnsi="微软雅黑" w:eastAsia="仿宋_GB2312"/>
          <w:sz w:val="32"/>
          <w:szCs w:val="32"/>
        </w:rPr>
        <w:t xml:space="preserve">第十七条 </w:t>
      </w:r>
      <w:r>
        <w:rPr>
          <w:rFonts w:hint="eastAsia" w:ascii="仿宋_GB2312" w:hAnsi="微软雅黑" w:eastAsia="仿宋_GB2312"/>
          <w:sz w:val="32"/>
          <w:szCs w:val="32"/>
        </w:rPr>
        <w:t>本规程由江西省教育厅负责解释，自公布之日起施行。</w:t>
      </w:r>
    </w:p>
    <w:p>
      <w:pPr>
        <w:pStyle w:val="9"/>
        <w:widowControl w:val="0"/>
        <w:shd w:val="clear" w:color="auto" w:fill="FFFFFF"/>
        <w:spacing w:before="0" w:beforeAutospacing="0" w:after="0" w:afterAutospacing="0" w:line="600" w:lineRule="exact"/>
        <w:ind w:firstLine="640" w:firstLineChars="200"/>
        <w:jc w:val="both"/>
        <w:rPr>
          <w:rFonts w:ascii="仿宋_GB2312" w:hAnsi="微软雅黑" w:eastAsia="仿宋_GB2312"/>
          <w:sz w:val="32"/>
          <w:szCs w:val="32"/>
        </w:rPr>
        <w:sectPr>
          <w:pgSz w:w="11906" w:h="16838"/>
          <w:pgMar w:top="1440" w:right="1800" w:bottom="1440" w:left="1800" w:header="851" w:footer="992" w:gutter="0"/>
          <w:pgNumType w:fmt="numberInDash"/>
          <w:cols w:space="425" w:num="1"/>
          <w:docGrid w:type="lines" w:linePitch="312" w:charSpace="0"/>
        </w:sectPr>
      </w:pPr>
    </w:p>
    <w:p>
      <w:pPr>
        <w:pStyle w:val="9"/>
        <w:widowControl w:val="0"/>
        <w:shd w:val="clear" w:color="auto" w:fill="FFFFFF"/>
        <w:spacing w:before="0" w:beforeAutospacing="0" w:after="0" w:afterAutospacing="0" w:line="600" w:lineRule="exact"/>
        <w:jc w:val="both"/>
        <w:rPr>
          <w:rFonts w:ascii="黑体" w:hAnsi="黑体" w:eastAsia="黑体"/>
          <w:sz w:val="32"/>
          <w:szCs w:val="32"/>
        </w:rPr>
      </w:pPr>
      <w:r>
        <w:rPr>
          <w:rFonts w:hint="eastAsia" w:ascii="黑体" w:hAnsi="黑体" w:eastAsia="黑体"/>
          <w:sz w:val="32"/>
          <w:szCs w:val="32"/>
        </w:rPr>
        <w:t>附件</w:t>
      </w:r>
    </w:p>
    <w:p>
      <w:pPr>
        <w:pStyle w:val="9"/>
        <w:widowControl w:val="0"/>
        <w:shd w:val="clear" w:color="auto" w:fill="FFFFFF"/>
        <w:spacing w:before="0" w:beforeAutospacing="0" w:after="0" w:afterAutospacing="0" w:line="600" w:lineRule="exact"/>
        <w:ind w:firstLine="640"/>
        <w:jc w:val="both"/>
        <w:rPr>
          <w:rFonts w:ascii="仿宋_GB2312" w:hAnsi="微软雅黑" w:eastAsia="仿宋_GB2312"/>
          <w:sz w:val="32"/>
          <w:szCs w:val="32"/>
        </w:rPr>
      </w:pPr>
    </w:p>
    <w:p>
      <w:pPr>
        <w:pStyle w:val="9"/>
        <w:widowControl w:val="0"/>
        <w:shd w:val="clear" w:color="auto" w:fill="FFFFFF"/>
        <w:spacing w:before="0" w:beforeAutospacing="0" w:after="0" w:afterAutospacing="0" w:line="600" w:lineRule="exact"/>
        <w:jc w:val="center"/>
        <w:rPr>
          <w:rFonts w:ascii="方正小标宋简体" w:hAnsi="微软雅黑" w:eastAsia="方正小标宋简体"/>
          <w:sz w:val="44"/>
          <w:szCs w:val="44"/>
        </w:rPr>
      </w:pPr>
      <w:r>
        <w:rPr>
          <w:rFonts w:hint="eastAsia" w:ascii="方正小标宋简体" w:hAnsi="微软雅黑" w:eastAsia="方正小标宋简体"/>
          <w:sz w:val="44"/>
          <w:szCs w:val="44"/>
        </w:rPr>
        <w:t>申报材料清单</w:t>
      </w:r>
    </w:p>
    <w:p>
      <w:pPr>
        <w:pStyle w:val="9"/>
        <w:widowControl w:val="0"/>
        <w:shd w:val="clear" w:color="auto" w:fill="FFFFFF"/>
        <w:spacing w:before="0" w:beforeAutospacing="0" w:after="0" w:afterAutospacing="0" w:line="600" w:lineRule="exact"/>
        <w:ind w:firstLine="640" w:firstLineChars="200"/>
        <w:jc w:val="both"/>
        <w:rPr>
          <w:rFonts w:ascii="仿宋_GB2312" w:hAnsi="微软雅黑" w:eastAsia="仿宋_GB2312"/>
          <w:sz w:val="32"/>
          <w:szCs w:val="32"/>
        </w:rPr>
      </w:pPr>
    </w:p>
    <w:p>
      <w:pPr>
        <w:pStyle w:val="9"/>
        <w:widowControl w:val="0"/>
        <w:shd w:val="clear" w:color="auto" w:fill="FFFFFF"/>
        <w:spacing w:before="0" w:beforeAutospacing="0" w:after="0" w:afterAutospacing="0" w:line="600" w:lineRule="exact"/>
        <w:ind w:firstLine="640" w:firstLineChars="200"/>
        <w:jc w:val="both"/>
        <w:rPr>
          <w:rFonts w:ascii="仿宋_GB2312" w:hAnsi="微软雅黑" w:eastAsia="仿宋_GB2312"/>
          <w:sz w:val="32"/>
          <w:szCs w:val="32"/>
        </w:rPr>
      </w:pPr>
      <w:r>
        <w:rPr>
          <w:rFonts w:hint="eastAsia" w:ascii="仿宋_GB2312" w:hAnsi="微软雅黑" w:eastAsia="仿宋_GB2312"/>
          <w:sz w:val="32"/>
          <w:szCs w:val="32"/>
        </w:rPr>
        <w:t>一、申报函(按审批程序申报)</w:t>
      </w:r>
    </w:p>
    <w:p>
      <w:pPr>
        <w:pStyle w:val="9"/>
        <w:widowControl w:val="0"/>
        <w:shd w:val="clear" w:color="auto" w:fill="FFFFFF"/>
        <w:spacing w:before="0" w:beforeAutospacing="0" w:after="0" w:afterAutospacing="0" w:line="600" w:lineRule="exact"/>
        <w:ind w:firstLine="640" w:firstLineChars="200"/>
        <w:jc w:val="both"/>
        <w:rPr>
          <w:rFonts w:ascii="仿宋_GB2312" w:hAnsi="微软雅黑" w:eastAsia="仿宋_GB2312"/>
          <w:sz w:val="32"/>
          <w:szCs w:val="32"/>
        </w:rPr>
      </w:pPr>
      <w:r>
        <w:rPr>
          <w:rFonts w:hint="eastAsia" w:ascii="仿宋_GB2312" w:hAnsi="微软雅黑" w:eastAsia="仿宋_GB2312"/>
          <w:sz w:val="32"/>
          <w:szCs w:val="32"/>
        </w:rPr>
        <w:t>二、可行性论证报告。论证报告应包括下列内容：（1）申请建校名称、建校基础、学校所在地、学校层次、学校性质、隶属关系；（2）设置的必要性；（3）设置的可行性，包含：办学规模、学科与专业、师资队伍、教学与科研水平、基础设施、办学经费、领导班子等设置基础；办学特色；办学定位、办学规模、学科与专业、师资队伍、教学与科研水平、基础设施等发展规划。</w:t>
      </w:r>
    </w:p>
    <w:p>
      <w:pPr>
        <w:pStyle w:val="9"/>
        <w:widowControl w:val="0"/>
        <w:shd w:val="clear" w:color="auto" w:fill="FFFFFF"/>
        <w:spacing w:before="0" w:beforeAutospacing="0" w:after="0" w:afterAutospacing="0" w:line="600" w:lineRule="exact"/>
        <w:ind w:firstLine="640" w:firstLineChars="200"/>
        <w:jc w:val="both"/>
        <w:rPr>
          <w:rFonts w:ascii="仿宋_GB2312" w:hAnsi="微软雅黑" w:eastAsia="仿宋_GB2312"/>
          <w:sz w:val="32"/>
          <w:szCs w:val="32"/>
        </w:rPr>
      </w:pPr>
      <w:r>
        <w:rPr>
          <w:rFonts w:hint="eastAsia" w:ascii="仿宋_GB2312" w:hAnsi="微软雅黑" w:eastAsia="仿宋_GB2312"/>
          <w:sz w:val="32"/>
          <w:szCs w:val="32"/>
        </w:rPr>
        <w:t>三、省高评委专家考察报告。考察报告应包括下列内容：设置的必要性、可行性和专家考察意见并签名。</w:t>
      </w:r>
    </w:p>
    <w:p>
      <w:pPr>
        <w:pStyle w:val="9"/>
        <w:widowControl w:val="0"/>
        <w:shd w:val="clear" w:color="auto" w:fill="FFFFFF"/>
        <w:spacing w:before="0" w:beforeAutospacing="0" w:after="0" w:afterAutospacing="0" w:line="600" w:lineRule="exact"/>
        <w:ind w:firstLine="640" w:firstLineChars="200"/>
        <w:jc w:val="both"/>
        <w:rPr>
          <w:rFonts w:ascii="仿宋_GB2312" w:hAnsi="微软雅黑" w:eastAsia="仿宋_GB2312"/>
          <w:sz w:val="32"/>
          <w:szCs w:val="32"/>
        </w:rPr>
      </w:pPr>
      <w:r>
        <w:rPr>
          <w:rFonts w:hint="eastAsia" w:ascii="仿宋_GB2312" w:hAnsi="微软雅黑" w:eastAsia="仿宋_GB2312"/>
          <w:sz w:val="32"/>
          <w:szCs w:val="32"/>
        </w:rPr>
        <w:t>四、学校章程。主要内容应符合《高等教育法》《高等学校章程制定暂行办法》等有关规定和要求,民办学校章程还应符合《民办教育促进法》《民办教育促进法实施条例》等有关要求。</w:t>
      </w:r>
    </w:p>
    <w:p>
      <w:pPr>
        <w:pStyle w:val="9"/>
        <w:widowControl w:val="0"/>
        <w:shd w:val="clear" w:color="auto" w:fill="FFFFFF"/>
        <w:spacing w:before="0" w:beforeAutospacing="0" w:after="0" w:afterAutospacing="0" w:line="600" w:lineRule="exact"/>
        <w:ind w:firstLine="640" w:firstLineChars="200"/>
        <w:jc w:val="both"/>
        <w:rPr>
          <w:rFonts w:ascii="仿宋_GB2312" w:hAnsi="微软雅黑" w:eastAsia="仿宋_GB2312"/>
          <w:sz w:val="32"/>
          <w:szCs w:val="32"/>
        </w:rPr>
      </w:pPr>
      <w:r>
        <w:rPr>
          <w:rFonts w:hint="eastAsia" w:ascii="仿宋_GB2312" w:hAnsi="微软雅黑" w:eastAsia="仿宋_GB2312"/>
          <w:sz w:val="32"/>
          <w:szCs w:val="32"/>
        </w:rPr>
        <w:t>五、稳定风险评估报告。结合实际情况，由学校所在地设区市人民政府或主管的省直单位统筹编制，省属高校由学校编制。</w:t>
      </w:r>
    </w:p>
    <w:p>
      <w:pPr>
        <w:pStyle w:val="9"/>
        <w:widowControl w:val="0"/>
        <w:shd w:val="clear" w:color="auto" w:fill="FFFFFF"/>
        <w:spacing w:before="0" w:beforeAutospacing="0" w:after="0" w:afterAutospacing="0" w:line="600" w:lineRule="exact"/>
        <w:ind w:firstLine="640" w:firstLineChars="200"/>
        <w:jc w:val="both"/>
        <w:rPr>
          <w:rFonts w:ascii="仿宋_GB2312" w:hAnsi="微软雅黑" w:eastAsia="仿宋_GB2312"/>
          <w:sz w:val="32"/>
          <w:szCs w:val="32"/>
        </w:rPr>
      </w:pPr>
      <w:r>
        <w:rPr>
          <w:rFonts w:hint="eastAsia" w:ascii="仿宋_GB2312" w:hAnsi="微软雅黑" w:eastAsia="仿宋_GB2312"/>
          <w:sz w:val="32"/>
          <w:szCs w:val="32"/>
        </w:rPr>
        <w:t>六、其他有关材料或文件。</w:t>
      </w:r>
    </w:p>
    <w:p>
      <w:pPr>
        <w:pStyle w:val="9"/>
        <w:widowControl w:val="0"/>
        <w:shd w:val="clear" w:color="auto" w:fill="FFFFFF"/>
        <w:spacing w:before="0" w:beforeAutospacing="0" w:after="0" w:afterAutospacing="0" w:line="600" w:lineRule="exact"/>
        <w:ind w:firstLine="640" w:firstLineChars="200"/>
        <w:jc w:val="both"/>
        <w:rPr>
          <w:rFonts w:ascii="仿宋_GB2312" w:hAnsi="微软雅黑" w:eastAsia="仿宋_GB2312"/>
          <w:sz w:val="32"/>
          <w:szCs w:val="32"/>
        </w:rPr>
      </w:pPr>
      <w:r>
        <w:rPr>
          <w:rFonts w:hint="eastAsia" w:ascii="仿宋_GB2312" w:hAnsi="微软雅黑" w:eastAsia="仿宋_GB2312"/>
          <w:sz w:val="32"/>
          <w:szCs w:val="32"/>
        </w:rPr>
        <w:t>（一）申请设置大学的：</w:t>
      </w:r>
    </w:p>
    <w:p>
      <w:pPr>
        <w:pStyle w:val="9"/>
        <w:widowControl w:val="0"/>
        <w:shd w:val="clear" w:color="auto" w:fill="FFFFFF"/>
        <w:spacing w:before="0" w:beforeAutospacing="0" w:after="0" w:afterAutospacing="0" w:line="600" w:lineRule="exact"/>
        <w:ind w:firstLine="640" w:firstLineChars="200"/>
        <w:jc w:val="both"/>
        <w:rPr>
          <w:rFonts w:ascii="仿宋_GB2312" w:hAnsi="微软雅黑" w:eastAsia="仿宋_GB2312"/>
          <w:sz w:val="32"/>
          <w:szCs w:val="32"/>
        </w:rPr>
      </w:pPr>
      <w:r>
        <w:rPr>
          <w:rFonts w:hint="eastAsia" w:ascii="仿宋_GB2312" w:hAnsi="微软雅黑" w:eastAsia="仿宋_GB2312"/>
          <w:sz w:val="32"/>
          <w:szCs w:val="32"/>
        </w:rPr>
        <w:t>1.校园建设规划图。</w:t>
      </w:r>
    </w:p>
    <w:p>
      <w:pPr>
        <w:pStyle w:val="9"/>
        <w:widowControl w:val="0"/>
        <w:shd w:val="clear" w:color="auto" w:fill="FFFFFF"/>
        <w:spacing w:before="0" w:beforeAutospacing="0" w:after="0" w:afterAutospacing="0" w:line="600" w:lineRule="exact"/>
        <w:ind w:firstLine="640" w:firstLineChars="200"/>
        <w:rPr>
          <w:rFonts w:ascii="仿宋_GB2312" w:hAnsi="微软雅黑" w:eastAsia="仿宋_GB2312"/>
          <w:sz w:val="32"/>
          <w:szCs w:val="32"/>
        </w:rPr>
      </w:pPr>
      <w:r>
        <w:rPr>
          <w:rFonts w:hint="eastAsia" w:ascii="仿宋_GB2312" w:hAnsi="微软雅黑" w:eastAsia="仿宋_GB2312"/>
          <w:sz w:val="32"/>
          <w:szCs w:val="32"/>
        </w:rPr>
        <w:t>2.校园所有不动产权证书（包括土地、房屋，可缩印排版并附明细表）。</w:t>
      </w:r>
    </w:p>
    <w:p>
      <w:pPr>
        <w:pStyle w:val="9"/>
        <w:widowControl w:val="0"/>
        <w:shd w:val="clear" w:color="auto" w:fill="FFFFFF"/>
        <w:spacing w:before="0" w:beforeAutospacing="0" w:after="0" w:afterAutospacing="0" w:line="600" w:lineRule="exact"/>
        <w:ind w:firstLine="640" w:firstLineChars="200"/>
        <w:jc w:val="both"/>
        <w:rPr>
          <w:rFonts w:ascii="仿宋_GB2312" w:hAnsi="微软雅黑" w:eastAsia="仿宋_GB2312"/>
          <w:sz w:val="32"/>
          <w:szCs w:val="32"/>
        </w:rPr>
      </w:pPr>
      <w:r>
        <w:rPr>
          <w:rFonts w:hint="eastAsia" w:ascii="仿宋_GB2312" w:hAnsi="微软雅黑" w:eastAsia="仿宋_GB2312"/>
          <w:sz w:val="32"/>
          <w:szCs w:val="32"/>
        </w:rPr>
        <w:t>3.各专业全日制在校生人数分布表（按学科门类、一级学科、专业名称分类统计），提供各学科门类全日制本科以上在校生数占学校全日制本科以上在校生总数的比例。</w:t>
      </w:r>
    </w:p>
    <w:p>
      <w:pPr>
        <w:pStyle w:val="9"/>
        <w:widowControl w:val="0"/>
        <w:shd w:val="clear" w:color="auto" w:fill="FFFFFF"/>
        <w:spacing w:before="0" w:beforeAutospacing="0" w:after="0" w:afterAutospacing="0" w:line="600" w:lineRule="exact"/>
        <w:ind w:firstLine="640" w:firstLineChars="200"/>
        <w:jc w:val="both"/>
        <w:rPr>
          <w:rFonts w:ascii="仿宋_GB2312" w:hAnsi="微软雅黑" w:eastAsia="仿宋_GB2312"/>
          <w:sz w:val="32"/>
          <w:szCs w:val="32"/>
        </w:rPr>
      </w:pPr>
      <w:r>
        <w:rPr>
          <w:rFonts w:hint="eastAsia" w:ascii="仿宋_GB2312" w:hAnsi="微软雅黑" w:eastAsia="仿宋_GB2312"/>
          <w:sz w:val="32"/>
          <w:szCs w:val="32"/>
        </w:rPr>
        <w:t>4.硕士、博士学位授权点一览表(按学科门类、一级学科所属的二级学科学位授权点，提供相应的在校生数以及毕业生届数）。</w:t>
      </w:r>
    </w:p>
    <w:p>
      <w:pPr>
        <w:pStyle w:val="9"/>
        <w:widowControl w:val="0"/>
        <w:shd w:val="clear" w:color="auto" w:fill="FFFFFF"/>
        <w:spacing w:before="0" w:beforeAutospacing="0" w:after="0" w:afterAutospacing="0" w:line="600" w:lineRule="exact"/>
        <w:ind w:firstLine="640" w:firstLineChars="200"/>
        <w:jc w:val="both"/>
        <w:rPr>
          <w:rFonts w:ascii="仿宋_GB2312" w:hAnsi="微软雅黑" w:eastAsia="仿宋_GB2312"/>
          <w:sz w:val="32"/>
          <w:szCs w:val="32"/>
        </w:rPr>
      </w:pPr>
      <w:r>
        <w:rPr>
          <w:rFonts w:hint="eastAsia" w:ascii="仿宋_GB2312" w:hAnsi="微软雅黑" w:eastAsia="仿宋_GB2312"/>
          <w:sz w:val="32"/>
          <w:szCs w:val="32"/>
        </w:rPr>
        <w:t>5.专任教师名单（包括年龄、学历学位、职称、任教学科、教学安排、现工资关系所在单位、来校工作年份等，按职称排序）。</w:t>
      </w:r>
    </w:p>
    <w:p>
      <w:pPr>
        <w:pStyle w:val="9"/>
        <w:widowControl w:val="0"/>
        <w:shd w:val="clear" w:color="auto" w:fill="FFFFFF"/>
        <w:spacing w:before="0" w:beforeAutospacing="0" w:after="0" w:afterAutospacing="0" w:line="600" w:lineRule="exact"/>
        <w:ind w:firstLine="640" w:firstLineChars="200"/>
        <w:jc w:val="both"/>
        <w:rPr>
          <w:rFonts w:ascii="仿宋_GB2312" w:hAnsi="微软雅黑" w:eastAsia="仿宋_GB2312"/>
          <w:sz w:val="32"/>
          <w:szCs w:val="32"/>
        </w:rPr>
      </w:pPr>
      <w:r>
        <w:rPr>
          <w:rFonts w:hint="eastAsia" w:ascii="仿宋_GB2312" w:hAnsi="微软雅黑" w:eastAsia="仿宋_GB2312"/>
          <w:sz w:val="32"/>
          <w:szCs w:val="32"/>
        </w:rPr>
        <w:t>6.省部级以上重点实验室情况一览表，并注明审批机关。</w:t>
      </w:r>
    </w:p>
    <w:p>
      <w:pPr>
        <w:pStyle w:val="9"/>
        <w:widowControl w:val="0"/>
        <w:shd w:val="clear" w:color="auto" w:fill="FFFFFF"/>
        <w:spacing w:before="0" w:beforeAutospacing="0" w:after="0" w:afterAutospacing="0" w:line="600" w:lineRule="exact"/>
        <w:ind w:firstLine="640" w:firstLineChars="200"/>
        <w:jc w:val="both"/>
        <w:rPr>
          <w:rFonts w:ascii="仿宋_GB2312" w:hAnsi="微软雅黑" w:eastAsia="仿宋_GB2312"/>
          <w:sz w:val="32"/>
          <w:szCs w:val="32"/>
        </w:rPr>
      </w:pPr>
      <w:r>
        <w:rPr>
          <w:rFonts w:hint="eastAsia" w:ascii="仿宋_GB2312" w:hAnsi="微软雅黑" w:eastAsia="仿宋_GB2312"/>
          <w:sz w:val="32"/>
          <w:szCs w:val="32"/>
        </w:rPr>
        <w:t>7.近5年分年度及年均实际到账科研经费额。</w:t>
      </w:r>
    </w:p>
    <w:p>
      <w:pPr>
        <w:pStyle w:val="9"/>
        <w:widowControl w:val="0"/>
        <w:shd w:val="clear" w:color="auto" w:fill="FFFFFF"/>
        <w:spacing w:before="0" w:beforeAutospacing="0" w:after="0" w:afterAutospacing="0" w:line="600" w:lineRule="exact"/>
        <w:ind w:firstLine="640" w:firstLineChars="200"/>
        <w:rPr>
          <w:rFonts w:ascii="仿宋_GB2312" w:hAnsi="微软雅黑" w:eastAsia="仿宋_GB2312"/>
          <w:sz w:val="32"/>
          <w:szCs w:val="32"/>
        </w:rPr>
      </w:pPr>
      <w:r>
        <w:rPr>
          <w:rFonts w:hint="eastAsia" w:ascii="仿宋_GB2312" w:hAnsi="微软雅黑" w:eastAsia="仿宋_GB2312"/>
          <w:sz w:val="32"/>
          <w:szCs w:val="32"/>
        </w:rPr>
        <w:t>8.近5年获省部级以上科研成果奖情况一览表及获国家级科研成果奖证书；以个人名义获奖的，应为本校现有专任教师在本校工作期间获奖。</w:t>
      </w:r>
    </w:p>
    <w:p>
      <w:pPr>
        <w:pStyle w:val="9"/>
        <w:widowControl w:val="0"/>
        <w:shd w:val="clear" w:color="auto" w:fill="FFFFFF"/>
        <w:spacing w:before="0" w:beforeAutospacing="0" w:after="0" w:afterAutospacing="0" w:line="600" w:lineRule="exact"/>
        <w:ind w:firstLine="640" w:firstLineChars="200"/>
        <w:jc w:val="both"/>
        <w:rPr>
          <w:rFonts w:ascii="仿宋_GB2312" w:hAnsi="微软雅黑" w:eastAsia="仿宋_GB2312"/>
          <w:sz w:val="32"/>
          <w:szCs w:val="32"/>
        </w:rPr>
      </w:pPr>
      <w:r>
        <w:rPr>
          <w:rFonts w:hint="eastAsia" w:ascii="仿宋_GB2312" w:hAnsi="微软雅黑" w:eastAsia="仿宋_GB2312"/>
          <w:sz w:val="32"/>
          <w:szCs w:val="32"/>
        </w:rPr>
        <w:t>9.获近两届省部级以上教学成果奖一览表。</w:t>
      </w:r>
    </w:p>
    <w:p>
      <w:pPr>
        <w:pStyle w:val="9"/>
        <w:widowControl w:val="0"/>
        <w:shd w:val="clear" w:color="auto" w:fill="FFFFFF"/>
        <w:spacing w:before="0" w:beforeAutospacing="0" w:after="0" w:afterAutospacing="0" w:line="600" w:lineRule="exact"/>
        <w:ind w:firstLine="640" w:firstLineChars="200"/>
        <w:jc w:val="both"/>
        <w:rPr>
          <w:rFonts w:ascii="仿宋_GB2312" w:hAnsi="微软雅黑" w:eastAsia="仿宋_GB2312"/>
          <w:sz w:val="32"/>
          <w:szCs w:val="32"/>
        </w:rPr>
      </w:pPr>
      <w:r>
        <w:rPr>
          <w:rFonts w:hint="eastAsia" w:ascii="仿宋_GB2312" w:hAnsi="微软雅黑" w:eastAsia="仿宋_GB2312"/>
          <w:sz w:val="32"/>
          <w:szCs w:val="32"/>
        </w:rPr>
        <w:t>10.主要教学科研仪器设备值一览表。</w:t>
      </w:r>
    </w:p>
    <w:p>
      <w:pPr>
        <w:pStyle w:val="9"/>
        <w:widowControl w:val="0"/>
        <w:shd w:val="clear" w:color="auto" w:fill="FFFFFF"/>
        <w:spacing w:before="0" w:beforeAutospacing="0" w:after="0" w:afterAutospacing="0" w:line="600" w:lineRule="exact"/>
        <w:ind w:firstLine="640" w:firstLineChars="200"/>
        <w:jc w:val="both"/>
        <w:rPr>
          <w:rFonts w:ascii="仿宋_GB2312" w:hAnsi="微软雅黑" w:eastAsia="仿宋_GB2312"/>
          <w:sz w:val="32"/>
          <w:szCs w:val="32"/>
        </w:rPr>
      </w:pPr>
      <w:r>
        <w:rPr>
          <w:rFonts w:hint="eastAsia" w:ascii="仿宋_GB2312" w:hAnsi="微软雅黑" w:eastAsia="仿宋_GB2312"/>
          <w:sz w:val="32"/>
          <w:szCs w:val="32"/>
        </w:rPr>
        <w:t>I1.其他必要的补充材料。</w:t>
      </w:r>
    </w:p>
    <w:p>
      <w:pPr>
        <w:pStyle w:val="9"/>
        <w:widowControl w:val="0"/>
        <w:shd w:val="clear" w:color="auto" w:fill="FFFFFF"/>
        <w:spacing w:before="0" w:beforeAutospacing="0" w:after="0" w:afterAutospacing="0" w:line="600" w:lineRule="exact"/>
        <w:ind w:firstLine="640" w:firstLineChars="200"/>
        <w:jc w:val="both"/>
        <w:rPr>
          <w:rFonts w:ascii="仿宋_GB2312" w:hAnsi="微软雅黑" w:eastAsia="仿宋_GB2312"/>
          <w:sz w:val="32"/>
          <w:szCs w:val="32"/>
        </w:rPr>
      </w:pPr>
      <w:r>
        <w:rPr>
          <w:rFonts w:hint="eastAsia" w:ascii="仿宋_GB2312" w:hAnsi="微软雅黑" w:eastAsia="仿宋_GB2312"/>
          <w:sz w:val="32"/>
          <w:szCs w:val="32"/>
        </w:rPr>
        <w:t>（二）申请设置学院的：</w:t>
      </w:r>
    </w:p>
    <w:p>
      <w:pPr>
        <w:pStyle w:val="9"/>
        <w:widowControl w:val="0"/>
        <w:shd w:val="clear" w:color="auto" w:fill="FFFFFF"/>
        <w:spacing w:before="0" w:beforeAutospacing="0" w:after="0" w:afterAutospacing="0" w:line="600" w:lineRule="exact"/>
        <w:ind w:firstLine="640" w:firstLineChars="200"/>
        <w:jc w:val="both"/>
        <w:rPr>
          <w:rFonts w:ascii="仿宋_GB2312" w:hAnsi="微软雅黑" w:eastAsia="仿宋_GB2312"/>
          <w:sz w:val="32"/>
          <w:szCs w:val="32"/>
        </w:rPr>
      </w:pPr>
      <w:r>
        <w:rPr>
          <w:rFonts w:hint="eastAsia" w:ascii="仿宋_GB2312" w:hAnsi="微软雅黑" w:eastAsia="仿宋_GB2312"/>
          <w:sz w:val="32"/>
          <w:szCs w:val="32"/>
        </w:rPr>
        <w:t>1.校园建设规划图。</w:t>
      </w:r>
    </w:p>
    <w:p>
      <w:pPr>
        <w:pStyle w:val="9"/>
        <w:widowControl w:val="0"/>
        <w:shd w:val="clear" w:color="auto" w:fill="FFFFFF"/>
        <w:spacing w:before="0" w:beforeAutospacing="0" w:after="0" w:afterAutospacing="0" w:line="600" w:lineRule="exact"/>
        <w:ind w:firstLine="640" w:firstLineChars="200"/>
        <w:jc w:val="both"/>
        <w:rPr>
          <w:rFonts w:ascii="仿宋_GB2312" w:hAnsi="微软雅黑" w:eastAsia="仿宋_GB2312"/>
          <w:sz w:val="32"/>
          <w:szCs w:val="32"/>
        </w:rPr>
      </w:pPr>
      <w:r>
        <w:rPr>
          <w:rFonts w:hint="eastAsia" w:ascii="仿宋_GB2312" w:hAnsi="微软雅黑" w:eastAsia="仿宋_GB2312"/>
          <w:sz w:val="32"/>
          <w:szCs w:val="32"/>
        </w:rPr>
        <w:t>2.校园所有不动产权证书（包括土地、房屋，可缩印排版并附明细表）。</w:t>
      </w:r>
    </w:p>
    <w:p>
      <w:pPr>
        <w:pStyle w:val="9"/>
        <w:widowControl w:val="0"/>
        <w:shd w:val="clear" w:color="auto" w:fill="FFFFFF"/>
        <w:spacing w:before="0" w:beforeAutospacing="0" w:after="0" w:afterAutospacing="0" w:line="600" w:lineRule="exact"/>
        <w:ind w:firstLine="640" w:firstLineChars="200"/>
        <w:jc w:val="both"/>
        <w:rPr>
          <w:rFonts w:ascii="仿宋_GB2312" w:hAnsi="微软雅黑" w:eastAsia="仿宋_GB2312"/>
          <w:sz w:val="32"/>
          <w:szCs w:val="32"/>
        </w:rPr>
      </w:pPr>
      <w:r>
        <w:rPr>
          <w:rFonts w:hint="eastAsia" w:ascii="仿宋_GB2312" w:hAnsi="微软雅黑" w:eastAsia="仿宋_GB2312"/>
          <w:sz w:val="32"/>
          <w:szCs w:val="32"/>
        </w:rPr>
        <w:t>3.专任教师名单（包括年龄、学历学位、职称、任教学科、教学安排、现工资关系所在单位、来校工作年份等，按职称排序）。</w:t>
      </w:r>
    </w:p>
    <w:p>
      <w:pPr>
        <w:pStyle w:val="9"/>
        <w:widowControl w:val="0"/>
        <w:shd w:val="clear" w:color="auto" w:fill="FFFFFF"/>
        <w:spacing w:before="0" w:beforeAutospacing="0" w:after="0" w:afterAutospacing="0" w:line="600" w:lineRule="exact"/>
        <w:ind w:firstLine="640" w:firstLineChars="200"/>
        <w:jc w:val="both"/>
        <w:rPr>
          <w:rFonts w:ascii="仿宋_GB2312" w:hAnsi="微软雅黑" w:eastAsia="仿宋_GB2312"/>
          <w:sz w:val="32"/>
          <w:szCs w:val="32"/>
        </w:rPr>
      </w:pPr>
      <w:r>
        <w:rPr>
          <w:rFonts w:hint="eastAsia" w:ascii="仿宋_GB2312" w:hAnsi="微软雅黑" w:eastAsia="仿宋_GB2312"/>
          <w:sz w:val="32"/>
          <w:szCs w:val="32"/>
        </w:rPr>
        <w:t>4.办学经历或现有专业一览表。</w:t>
      </w:r>
    </w:p>
    <w:p>
      <w:pPr>
        <w:pStyle w:val="9"/>
        <w:widowControl w:val="0"/>
        <w:shd w:val="clear" w:color="auto" w:fill="FFFFFF"/>
        <w:spacing w:before="0" w:beforeAutospacing="0" w:after="0" w:afterAutospacing="0" w:line="600" w:lineRule="exact"/>
        <w:ind w:firstLine="640" w:firstLineChars="200"/>
        <w:jc w:val="both"/>
        <w:rPr>
          <w:rFonts w:ascii="仿宋_GB2312" w:hAnsi="微软雅黑" w:eastAsia="仿宋_GB2312"/>
          <w:sz w:val="32"/>
          <w:szCs w:val="32"/>
        </w:rPr>
      </w:pPr>
      <w:r>
        <w:rPr>
          <w:rFonts w:hint="eastAsia" w:ascii="仿宋_GB2312" w:hAnsi="微软雅黑" w:eastAsia="仿宋_GB2312"/>
          <w:sz w:val="32"/>
          <w:szCs w:val="32"/>
        </w:rPr>
        <w:t>5.首批拟申请设置的本科专业一览表（专业数量一般不多于6个，需包括分专业的人才培养方案、办学条件、师资条件、科研和获奖情况、论文著作、教学计划摘要、主要课程设置、实践教学安排等）。</w:t>
      </w:r>
    </w:p>
    <w:p>
      <w:pPr>
        <w:pStyle w:val="9"/>
        <w:widowControl w:val="0"/>
        <w:shd w:val="clear" w:color="auto" w:fill="FFFFFF"/>
        <w:spacing w:before="0" w:beforeAutospacing="0" w:after="0" w:afterAutospacing="0" w:line="600" w:lineRule="exact"/>
        <w:ind w:firstLine="640" w:firstLineChars="200"/>
        <w:jc w:val="both"/>
        <w:rPr>
          <w:rFonts w:ascii="仿宋_GB2312" w:hAnsi="微软雅黑" w:eastAsia="仿宋_GB2312"/>
          <w:sz w:val="32"/>
          <w:szCs w:val="32"/>
        </w:rPr>
      </w:pPr>
      <w:r>
        <w:rPr>
          <w:rFonts w:hint="eastAsia" w:ascii="仿宋_GB2312" w:hAnsi="微软雅黑" w:eastAsia="仿宋_GB2312"/>
          <w:sz w:val="32"/>
          <w:szCs w:val="32"/>
        </w:rPr>
        <w:t>6.主要教学科研仪器设备值一览表。</w:t>
      </w:r>
    </w:p>
    <w:p>
      <w:pPr>
        <w:pStyle w:val="9"/>
        <w:widowControl w:val="0"/>
        <w:shd w:val="clear" w:color="auto" w:fill="FFFFFF"/>
        <w:spacing w:before="0" w:beforeAutospacing="0" w:after="0" w:afterAutospacing="0" w:line="600" w:lineRule="exact"/>
        <w:ind w:firstLine="640" w:firstLineChars="200"/>
        <w:jc w:val="both"/>
        <w:rPr>
          <w:rFonts w:ascii="仿宋_GB2312" w:hAnsi="微软雅黑" w:eastAsia="仿宋_GB2312"/>
          <w:sz w:val="32"/>
          <w:szCs w:val="32"/>
        </w:rPr>
      </w:pPr>
      <w:r>
        <w:rPr>
          <w:rFonts w:hint="eastAsia" w:ascii="仿宋_GB2312" w:hAnsi="微软雅黑" w:eastAsia="仿宋_GB2312"/>
          <w:sz w:val="32"/>
          <w:szCs w:val="32"/>
        </w:rPr>
        <w:t>7.其他必要的补充材料。</w:t>
      </w:r>
    </w:p>
    <w:p>
      <w:pPr>
        <w:pStyle w:val="9"/>
        <w:widowControl w:val="0"/>
        <w:shd w:val="clear" w:color="auto" w:fill="FFFFFF"/>
        <w:spacing w:before="0" w:beforeAutospacing="0" w:after="0" w:afterAutospacing="0" w:line="600" w:lineRule="exact"/>
        <w:ind w:firstLine="640" w:firstLineChars="200"/>
        <w:jc w:val="both"/>
        <w:rPr>
          <w:rFonts w:ascii="仿宋_GB2312" w:hAnsi="微软雅黑" w:eastAsia="仿宋_GB2312"/>
          <w:sz w:val="32"/>
          <w:szCs w:val="32"/>
        </w:rPr>
      </w:pPr>
      <w:r>
        <w:rPr>
          <w:rFonts w:hint="eastAsia" w:ascii="仿宋_GB2312" w:hAnsi="微软雅黑" w:eastAsia="仿宋_GB2312"/>
          <w:sz w:val="32"/>
          <w:szCs w:val="32"/>
        </w:rPr>
        <w:t>（三）申请设置专科学历教育高等学校的：</w:t>
      </w:r>
    </w:p>
    <w:p>
      <w:pPr>
        <w:pStyle w:val="9"/>
        <w:widowControl w:val="0"/>
        <w:shd w:val="clear" w:color="auto" w:fill="FFFFFF"/>
        <w:spacing w:before="0" w:beforeAutospacing="0" w:after="0" w:afterAutospacing="0" w:line="600" w:lineRule="exact"/>
        <w:ind w:firstLine="640" w:firstLineChars="200"/>
        <w:jc w:val="both"/>
        <w:rPr>
          <w:rFonts w:ascii="仿宋_GB2312" w:hAnsi="微软雅黑" w:eastAsia="仿宋_GB2312"/>
          <w:sz w:val="32"/>
          <w:szCs w:val="32"/>
        </w:rPr>
      </w:pPr>
      <w:r>
        <w:rPr>
          <w:rFonts w:hint="eastAsia" w:ascii="仿宋_GB2312" w:hAnsi="微软雅黑" w:eastAsia="仿宋_GB2312"/>
          <w:sz w:val="32"/>
          <w:szCs w:val="32"/>
        </w:rPr>
        <w:t>1.校园建设规划图。</w:t>
      </w:r>
    </w:p>
    <w:p>
      <w:pPr>
        <w:pStyle w:val="9"/>
        <w:widowControl w:val="0"/>
        <w:shd w:val="clear" w:color="auto" w:fill="FFFFFF"/>
        <w:spacing w:before="0" w:beforeAutospacing="0" w:after="0" w:afterAutospacing="0" w:line="600" w:lineRule="exact"/>
        <w:ind w:firstLine="640" w:firstLineChars="200"/>
        <w:jc w:val="both"/>
        <w:rPr>
          <w:rFonts w:ascii="仿宋_GB2312" w:hAnsi="微软雅黑" w:eastAsia="仿宋_GB2312"/>
          <w:sz w:val="32"/>
          <w:szCs w:val="32"/>
        </w:rPr>
      </w:pPr>
      <w:r>
        <w:rPr>
          <w:rFonts w:hint="eastAsia" w:ascii="仿宋_GB2312" w:hAnsi="微软雅黑" w:eastAsia="仿宋_GB2312"/>
          <w:sz w:val="32"/>
          <w:szCs w:val="32"/>
        </w:rPr>
        <w:t>2.校园所有不动产权证书（包括土地、房屋，可缩印排版并附明细表）。</w:t>
      </w:r>
    </w:p>
    <w:p>
      <w:pPr>
        <w:pStyle w:val="9"/>
        <w:widowControl w:val="0"/>
        <w:shd w:val="clear" w:color="auto" w:fill="FFFFFF"/>
        <w:spacing w:before="0" w:beforeAutospacing="0" w:after="0" w:afterAutospacing="0" w:line="600" w:lineRule="exact"/>
        <w:ind w:firstLine="640" w:firstLineChars="200"/>
        <w:jc w:val="both"/>
        <w:rPr>
          <w:rFonts w:ascii="仿宋_GB2312" w:hAnsi="微软雅黑" w:eastAsia="仿宋_GB2312"/>
          <w:sz w:val="32"/>
          <w:szCs w:val="32"/>
        </w:rPr>
      </w:pPr>
      <w:r>
        <w:rPr>
          <w:rFonts w:hint="eastAsia" w:ascii="仿宋_GB2312" w:hAnsi="微软雅黑" w:eastAsia="仿宋_GB2312"/>
          <w:sz w:val="32"/>
          <w:szCs w:val="32"/>
        </w:rPr>
        <w:t>3.专任教师名单（包括年龄、学历学位、职称、任教学科、教学安排、现工资关系所在单位、来校工作年份等，按职称排序）。</w:t>
      </w:r>
    </w:p>
    <w:p>
      <w:pPr>
        <w:pStyle w:val="9"/>
        <w:widowControl w:val="0"/>
        <w:shd w:val="clear" w:color="auto" w:fill="FFFFFF"/>
        <w:spacing w:before="0" w:beforeAutospacing="0" w:after="0" w:afterAutospacing="0" w:line="600" w:lineRule="exact"/>
        <w:ind w:firstLine="640" w:firstLineChars="200"/>
        <w:jc w:val="both"/>
        <w:rPr>
          <w:rFonts w:ascii="仿宋_GB2312" w:hAnsi="微软雅黑" w:eastAsia="仿宋_GB2312"/>
          <w:sz w:val="32"/>
          <w:szCs w:val="32"/>
        </w:rPr>
      </w:pPr>
      <w:r>
        <w:rPr>
          <w:rFonts w:hint="eastAsia" w:ascii="仿宋_GB2312" w:hAnsi="微软雅黑" w:eastAsia="仿宋_GB2312"/>
          <w:sz w:val="32"/>
          <w:szCs w:val="32"/>
        </w:rPr>
        <w:t>4.办学经历或现有专业一览表。</w:t>
      </w:r>
    </w:p>
    <w:p>
      <w:pPr>
        <w:pStyle w:val="9"/>
        <w:widowControl w:val="0"/>
        <w:shd w:val="clear" w:color="auto" w:fill="FFFFFF"/>
        <w:spacing w:before="0" w:beforeAutospacing="0" w:after="0" w:afterAutospacing="0" w:line="600" w:lineRule="exact"/>
        <w:ind w:firstLine="640" w:firstLineChars="200"/>
        <w:jc w:val="both"/>
        <w:rPr>
          <w:rFonts w:ascii="仿宋_GB2312" w:hAnsi="微软雅黑" w:eastAsia="仿宋_GB2312"/>
          <w:sz w:val="32"/>
          <w:szCs w:val="32"/>
        </w:rPr>
      </w:pPr>
      <w:r>
        <w:rPr>
          <w:rFonts w:hint="eastAsia" w:ascii="仿宋_GB2312" w:hAnsi="微软雅黑" w:eastAsia="仿宋_GB2312"/>
          <w:sz w:val="32"/>
          <w:szCs w:val="32"/>
        </w:rPr>
        <w:t>5.首批拟申请设置的专科专业一览表（专业数量一般不多于5个，需包括分专业的人才培养方案、办学条件、师资条件、教学计划摘要、主要课程设置、实践教学安排等）。</w:t>
      </w:r>
    </w:p>
    <w:p>
      <w:pPr>
        <w:pStyle w:val="9"/>
        <w:widowControl w:val="0"/>
        <w:shd w:val="clear" w:color="auto" w:fill="FFFFFF"/>
        <w:spacing w:before="0" w:beforeAutospacing="0" w:after="0" w:afterAutospacing="0" w:line="600" w:lineRule="exact"/>
        <w:ind w:firstLine="640" w:firstLineChars="200"/>
        <w:jc w:val="both"/>
        <w:rPr>
          <w:rFonts w:ascii="仿宋_GB2312" w:hAnsi="微软雅黑" w:eastAsia="仿宋_GB2312"/>
          <w:sz w:val="32"/>
          <w:szCs w:val="32"/>
        </w:rPr>
      </w:pPr>
      <w:r>
        <w:rPr>
          <w:rFonts w:hint="eastAsia" w:ascii="仿宋_GB2312" w:hAnsi="微软雅黑" w:eastAsia="仿宋_GB2312"/>
          <w:sz w:val="32"/>
          <w:szCs w:val="32"/>
        </w:rPr>
        <w:t>6.主要教学科研仪器设备值一览表。</w:t>
      </w:r>
    </w:p>
    <w:p>
      <w:pPr>
        <w:pStyle w:val="9"/>
        <w:widowControl w:val="0"/>
        <w:shd w:val="clear" w:color="auto" w:fill="FFFFFF"/>
        <w:spacing w:before="0" w:beforeAutospacing="0" w:after="0" w:afterAutospacing="0" w:line="600" w:lineRule="exact"/>
        <w:ind w:firstLine="640" w:firstLineChars="200"/>
        <w:jc w:val="both"/>
        <w:rPr>
          <w:rFonts w:ascii="仿宋_GB2312" w:hAnsi="微软雅黑" w:eastAsia="仿宋_GB2312"/>
          <w:sz w:val="32"/>
          <w:szCs w:val="32"/>
        </w:rPr>
      </w:pPr>
      <w:r>
        <w:rPr>
          <w:rFonts w:hint="eastAsia" w:ascii="仿宋_GB2312" w:hAnsi="微软雅黑" w:eastAsia="仿宋_GB2312"/>
          <w:sz w:val="32"/>
          <w:szCs w:val="32"/>
        </w:rPr>
        <w:t>7.其他必要的补充材料。</w:t>
      </w:r>
    </w:p>
    <w:p>
      <w:pPr>
        <w:pStyle w:val="9"/>
        <w:widowControl w:val="0"/>
        <w:shd w:val="clear" w:color="auto" w:fill="FFFFFF"/>
        <w:spacing w:before="0" w:beforeAutospacing="0" w:after="0" w:afterAutospacing="0" w:line="600" w:lineRule="exact"/>
        <w:ind w:firstLine="640" w:firstLineChars="200"/>
        <w:jc w:val="both"/>
        <w:rPr>
          <w:rFonts w:ascii="仿宋_GB2312" w:hAnsi="微软雅黑" w:eastAsia="仿宋_GB2312"/>
          <w:sz w:val="32"/>
          <w:szCs w:val="32"/>
        </w:rPr>
      </w:pPr>
      <w:r>
        <w:rPr>
          <w:rFonts w:hint="eastAsia" w:ascii="仿宋_GB2312" w:hAnsi="微软雅黑" w:eastAsia="仿宋_GB2312"/>
          <w:sz w:val="32"/>
          <w:szCs w:val="32"/>
        </w:rPr>
        <w:t>（四）申请设置民办高等学校的：</w:t>
      </w:r>
    </w:p>
    <w:p>
      <w:pPr>
        <w:pStyle w:val="9"/>
        <w:widowControl w:val="0"/>
        <w:shd w:val="clear" w:color="auto" w:fill="FFFFFF"/>
        <w:spacing w:before="0" w:beforeAutospacing="0" w:after="0" w:afterAutospacing="0" w:line="600" w:lineRule="exact"/>
        <w:ind w:firstLine="640" w:firstLineChars="200"/>
        <w:jc w:val="both"/>
        <w:rPr>
          <w:rFonts w:ascii="仿宋_GB2312" w:hAnsi="微软雅黑" w:eastAsia="仿宋_GB2312"/>
          <w:sz w:val="32"/>
          <w:szCs w:val="32"/>
        </w:rPr>
      </w:pPr>
      <w:r>
        <w:rPr>
          <w:rFonts w:hint="eastAsia" w:ascii="仿宋_GB2312" w:hAnsi="微软雅黑" w:eastAsia="仿宋_GB2312"/>
          <w:sz w:val="32"/>
          <w:szCs w:val="32"/>
        </w:rPr>
        <w:t>还应按照《民办教育促进法》《营利性民办学校监督管理实施细则》等要求提供有关材料，如举办者资质，学校资产来源、资金数额及有效证明文件，首届学校理事会、董事会或者其他决策机构组成人员名单，学校党组织负责人及组成人员名单，校长、财会人员资格证明文件等；并由省教育厅提供该校依法办学规范管理的说明材料，重点是学校在法人财产权、资产过户、党的建设、思想政治教育、法人治理、资产管理和财务会计制度、规范办学行为、安全管理责任等方面的落实情况。</w:t>
      </w:r>
    </w:p>
    <w:p>
      <w:pPr>
        <w:pStyle w:val="2"/>
        <w:spacing w:line="580" w:lineRule="exact"/>
        <w:ind w:firstLine="640" w:firstLineChars="200"/>
        <w:rPr>
          <w:rFonts w:ascii="仿宋_GB2312" w:hAnsi="微软雅黑" w:eastAsia="仿宋_GB2312"/>
          <w:sz w:val="32"/>
          <w:szCs w:val="32"/>
        </w:rPr>
      </w:pPr>
      <w:r>
        <w:rPr>
          <w:rFonts w:hint="eastAsia" w:ascii="仿宋_GB2312" w:hAnsi="微软雅黑" w:eastAsia="仿宋_GB2312"/>
          <w:sz w:val="32"/>
          <w:szCs w:val="32"/>
        </w:rPr>
        <w:t>七、申报材料一式三份使用普通A4纸打印汇编成册，总页码数原则上控制在100页（50张纸）以内。同时附送申报材料PDF格式电子版。</w:t>
      </w:r>
    </w:p>
    <w:p>
      <w:pPr>
        <w:pStyle w:val="2"/>
        <w:spacing w:line="580" w:lineRule="exact"/>
        <w:ind w:firstLine="640" w:firstLineChars="200"/>
        <w:rPr>
          <w:rFonts w:ascii="仿宋_GB2312" w:hAnsi="微软雅黑" w:eastAsia="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ourier New">
    <w:panose1 w:val="02070309020205020404"/>
    <w:charset w:val="00"/>
    <w:family w:val="modern"/>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1MGZlODNiMzUzZmQxN2Y2ZmQyMzdmMzlmNGJhYTMifQ=="/>
    <w:docVar w:name="WM_UUID" w:val="e8b23d40-b6ed-454c-abe8-8137956e7c2c"/>
  </w:docVars>
  <w:rsids>
    <w:rsidRoot w:val="5F7F7D37"/>
    <w:rsid w:val="00002C47"/>
    <w:rsid w:val="00004C71"/>
    <w:rsid w:val="000179A6"/>
    <w:rsid w:val="00034832"/>
    <w:rsid w:val="000358EB"/>
    <w:rsid w:val="0005686B"/>
    <w:rsid w:val="00060FB9"/>
    <w:rsid w:val="00061281"/>
    <w:rsid w:val="00064C70"/>
    <w:rsid w:val="000732A5"/>
    <w:rsid w:val="000818CE"/>
    <w:rsid w:val="00083F72"/>
    <w:rsid w:val="0009377B"/>
    <w:rsid w:val="000A6171"/>
    <w:rsid w:val="000A667C"/>
    <w:rsid w:val="000E156B"/>
    <w:rsid w:val="000E1CEC"/>
    <w:rsid w:val="000E73DE"/>
    <w:rsid w:val="001005DA"/>
    <w:rsid w:val="001022D2"/>
    <w:rsid w:val="00113E04"/>
    <w:rsid w:val="0011594C"/>
    <w:rsid w:val="00122766"/>
    <w:rsid w:val="0013459C"/>
    <w:rsid w:val="00137EB8"/>
    <w:rsid w:val="00150086"/>
    <w:rsid w:val="00150E95"/>
    <w:rsid w:val="001537F6"/>
    <w:rsid w:val="00153C0D"/>
    <w:rsid w:val="001639AD"/>
    <w:rsid w:val="0016445F"/>
    <w:rsid w:val="0016534C"/>
    <w:rsid w:val="00173A1D"/>
    <w:rsid w:val="00174B00"/>
    <w:rsid w:val="0017668D"/>
    <w:rsid w:val="00176751"/>
    <w:rsid w:val="00184086"/>
    <w:rsid w:val="0019430E"/>
    <w:rsid w:val="00195B63"/>
    <w:rsid w:val="001A2BE0"/>
    <w:rsid w:val="001B0902"/>
    <w:rsid w:val="001B3F70"/>
    <w:rsid w:val="001B7BA1"/>
    <w:rsid w:val="001C3E66"/>
    <w:rsid w:val="001C5072"/>
    <w:rsid w:val="001E026F"/>
    <w:rsid w:val="001E23BF"/>
    <w:rsid w:val="001E70D6"/>
    <w:rsid w:val="00215639"/>
    <w:rsid w:val="0022013B"/>
    <w:rsid w:val="0022065F"/>
    <w:rsid w:val="0023174F"/>
    <w:rsid w:val="002362F6"/>
    <w:rsid w:val="00240D20"/>
    <w:rsid w:val="00243DC6"/>
    <w:rsid w:val="0025086E"/>
    <w:rsid w:val="00252859"/>
    <w:rsid w:val="0025572A"/>
    <w:rsid w:val="002736AF"/>
    <w:rsid w:val="0027507B"/>
    <w:rsid w:val="00275A0A"/>
    <w:rsid w:val="002912FD"/>
    <w:rsid w:val="002A7418"/>
    <w:rsid w:val="002A78CD"/>
    <w:rsid w:val="002B1DAA"/>
    <w:rsid w:val="002B231B"/>
    <w:rsid w:val="002B2E66"/>
    <w:rsid w:val="002C540E"/>
    <w:rsid w:val="002C7D59"/>
    <w:rsid w:val="002D0E01"/>
    <w:rsid w:val="002D6327"/>
    <w:rsid w:val="002D7026"/>
    <w:rsid w:val="002D7074"/>
    <w:rsid w:val="002E694A"/>
    <w:rsid w:val="002F4182"/>
    <w:rsid w:val="003046E8"/>
    <w:rsid w:val="003146FF"/>
    <w:rsid w:val="00317013"/>
    <w:rsid w:val="0033669E"/>
    <w:rsid w:val="003370CE"/>
    <w:rsid w:val="0034389F"/>
    <w:rsid w:val="00347874"/>
    <w:rsid w:val="00350D3D"/>
    <w:rsid w:val="00353ADB"/>
    <w:rsid w:val="00355B55"/>
    <w:rsid w:val="00374513"/>
    <w:rsid w:val="00375D4B"/>
    <w:rsid w:val="0037640A"/>
    <w:rsid w:val="0038105B"/>
    <w:rsid w:val="00386B19"/>
    <w:rsid w:val="00393A4B"/>
    <w:rsid w:val="0039698F"/>
    <w:rsid w:val="003A22D7"/>
    <w:rsid w:val="003C6B0F"/>
    <w:rsid w:val="003C6FCC"/>
    <w:rsid w:val="003D4649"/>
    <w:rsid w:val="003E0FE0"/>
    <w:rsid w:val="003E6487"/>
    <w:rsid w:val="004069F5"/>
    <w:rsid w:val="00412EFF"/>
    <w:rsid w:val="004243E4"/>
    <w:rsid w:val="00443EB3"/>
    <w:rsid w:val="00445633"/>
    <w:rsid w:val="0046239C"/>
    <w:rsid w:val="0046318D"/>
    <w:rsid w:val="00472B9E"/>
    <w:rsid w:val="00480732"/>
    <w:rsid w:val="00483D92"/>
    <w:rsid w:val="004840D1"/>
    <w:rsid w:val="0048586E"/>
    <w:rsid w:val="00485CFF"/>
    <w:rsid w:val="00496B0C"/>
    <w:rsid w:val="004B627C"/>
    <w:rsid w:val="004B7E8D"/>
    <w:rsid w:val="004C733E"/>
    <w:rsid w:val="004D6BED"/>
    <w:rsid w:val="00500682"/>
    <w:rsid w:val="005059BA"/>
    <w:rsid w:val="005242DE"/>
    <w:rsid w:val="005266C9"/>
    <w:rsid w:val="00536956"/>
    <w:rsid w:val="005525EA"/>
    <w:rsid w:val="00553205"/>
    <w:rsid w:val="005610D8"/>
    <w:rsid w:val="005622C5"/>
    <w:rsid w:val="0056660C"/>
    <w:rsid w:val="005766CD"/>
    <w:rsid w:val="005849CC"/>
    <w:rsid w:val="0059384D"/>
    <w:rsid w:val="005A6A72"/>
    <w:rsid w:val="005B5EAC"/>
    <w:rsid w:val="005C3397"/>
    <w:rsid w:val="005E1C03"/>
    <w:rsid w:val="005E5C11"/>
    <w:rsid w:val="005F1654"/>
    <w:rsid w:val="005F459B"/>
    <w:rsid w:val="00602D08"/>
    <w:rsid w:val="006039D0"/>
    <w:rsid w:val="0060650C"/>
    <w:rsid w:val="00613D7F"/>
    <w:rsid w:val="00616021"/>
    <w:rsid w:val="0062217B"/>
    <w:rsid w:val="0062526C"/>
    <w:rsid w:val="0062621F"/>
    <w:rsid w:val="00632240"/>
    <w:rsid w:val="006373CD"/>
    <w:rsid w:val="0066313B"/>
    <w:rsid w:val="00670692"/>
    <w:rsid w:val="00682DAE"/>
    <w:rsid w:val="006A7F4C"/>
    <w:rsid w:val="006C18E6"/>
    <w:rsid w:val="006C30EC"/>
    <w:rsid w:val="006D3DAD"/>
    <w:rsid w:val="006E2E18"/>
    <w:rsid w:val="006E647A"/>
    <w:rsid w:val="006F663C"/>
    <w:rsid w:val="0073442B"/>
    <w:rsid w:val="00741565"/>
    <w:rsid w:val="00744909"/>
    <w:rsid w:val="00744E65"/>
    <w:rsid w:val="00753A40"/>
    <w:rsid w:val="007625B5"/>
    <w:rsid w:val="00764780"/>
    <w:rsid w:val="00772384"/>
    <w:rsid w:val="00777806"/>
    <w:rsid w:val="0079527B"/>
    <w:rsid w:val="007D3403"/>
    <w:rsid w:val="007E7215"/>
    <w:rsid w:val="007E7577"/>
    <w:rsid w:val="007F7CFC"/>
    <w:rsid w:val="0080281C"/>
    <w:rsid w:val="00817106"/>
    <w:rsid w:val="00843B94"/>
    <w:rsid w:val="00863D0B"/>
    <w:rsid w:val="00863EB8"/>
    <w:rsid w:val="00864C1F"/>
    <w:rsid w:val="008705C5"/>
    <w:rsid w:val="00893E95"/>
    <w:rsid w:val="0089792B"/>
    <w:rsid w:val="008A7072"/>
    <w:rsid w:val="008B17A1"/>
    <w:rsid w:val="008B5B5F"/>
    <w:rsid w:val="008C01A0"/>
    <w:rsid w:val="008C1CD8"/>
    <w:rsid w:val="008C383A"/>
    <w:rsid w:val="008D0EFA"/>
    <w:rsid w:val="008D27B7"/>
    <w:rsid w:val="008F161E"/>
    <w:rsid w:val="00921203"/>
    <w:rsid w:val="0093750C"/>
    <w:rsid w:val="00947D82"/>
    <w:rsid w:val="00956941"/>
    <w:rsid w:val="00963910"/>
    <w:rsid w:val="00972D16"/>
    <w:rsid w:val="009946B6"/>
    <w:rsid w:val="00994DAD"/>
    <w:rsid w:val="009A16B9"/>
    <w:rsid w:val="009A29E4"/>
    <w:rsid w:val="009C10AF"/>
    <w:rsid w:val="009C2705"/>
    <w:rsid w:val="009C6986"/>
    <w:rsid w:val="009C7865"/>
    <w:rsid w:val="009D6446"/>
    <w:rsid w:val="009D6B7A"/>
    <w:rsid w:val="009F40A3"/>
    <w:rsid w:val="00A00C48"/>
    <w:rsid w:val="00A048CB"/>
    <w:rsid w:val="00A1130D"/>
    <w:rsid w:val="00A2048E"/>
    <w:rsid w:val="00A20F68"/>
    <w:rsid w:val="00A2280D"/>
    <w:rsid w:val="00A2649B"/>
    <w:rsid w:val="00A3042D"/>
    <w:rsid w:val="00A36DDA"/>
    <w:rsid w:val="00A50C4F"/>
    <w:rsid w:val="00A52C72"/>
    <w:rsid w:val="00A535C5"/>
    <w:rsid w:val="00A91219"/>
    <w:rsid w:val="00A93403"/>
    <w:rsid w:val="00A95B55"/>
    <w:rsid w:val="00AA1ABA"/>
    <w:rsid w:val="00AC3162"/>
    <w:rsid w:val="00AC6FE2"/>
    <w:rsid w:val="00AE041E"/>
    <w:rsid w:val="00AE047E"/>
    <w:rsid w:val="00AE6D37"/>
    <w:rsid w:val="00AE78F9"/>
    <w:rsid w:val="00B117DD"/>
    <w:rsid w:val="00B14EB3"/>
    <w:rsid w:val="00B15436"/>
    <w:rsid w:val="00B20915"/>
    <w:rsid w:val="00B349E0"/>
    <w:rsid w:val="00B42A86"/>
    <w:rsid w:val="00B443D9"/>
    <w:rsid w:val="00B502DC"/>
    <w:rsid w:val="00B6499D"/>
    <w:rsid w:val="00B77163"/>
    <w:rsid w:val="00B835AA"/>
    <w:rsid w:val="00B838BE"/>
    <w:rsid w:val="00B83C52"/>
    <w:rsid w:val="00B92DA7"/>
    <w:rsid w:val="00B97390"/>
    <w:rsid w:val="00BA0768"/>
    <w:rsid w:val="00BC476B"/>
    <w:rsid w:val="00BD11A0"/>
    <w:rsid w:val="00BD157F"/>
    <w:rsid w:val="00BE4393"/>
    <w:rsid w:val="00BF1696"/>
    <w:rsid w:val="00C17D40"/>
    <w:rsid w:val="00C347E5"/>
    <w:rsid w:val="00C52482"/>
    <w:rsid w:val="00C54DDF"/>
    <w:rsid w:val="00C5797F"/>
    <w:rsid w:val="00C672EB"/>
    <w:rsid w:val="00C70B17"/>
    <w:rsid w:val="00C87023"/>
    <w:rsid w:val="00CA15E0"/>
    <w:rsid w:val="00CA163E"/>
    <w:rsid w:val="00CB0BCE"/>
    <w:rsid w:val="00CB43A0"/>
    <w:rsid w:val="00CC0875"/>
    <w:rsid w:val="00CC4BDA"/>
    <w:rsid w:val="00CD5E22"/>
    <w:rsid w:val="00CD748C"/>
    <w:rsid w:val="00CE6930"/>
    <w:rsid w:val="00CF1B44"/>
    <w:rsid w:val="00D105A3"/>
    <w:rsid w:val="00D1617B"/>
    <w:rsid w:val="00D27E4D"/>
    <w:rsid w:val="00D33E1A"/>
    <w:rsid w:val="00D33F18"/>
    <w:rsid w:val="00D34A33"/>
    <w:rsid w:val="00D3793C"/>
    <w:rsid w:val="00D43284"/>
    <w:rsid w:val="00D50A6A"/>
    <w:rsid w:val="00D50F4B"/>
    <w:rsid w:val="00D602E4"/>
    <w:rsid w:val="00D74C17"/>
    <w:rsid w:val="00DC13E7"/>
    <w:rsid w:val="00DC4407"/>
    <w:rsid w:val="00DC544D"/>
    <w:rsid w:val="00DD1D15"/>
    <w:rsid w:val="00DE2D02"/>
    <w:rsid w:val="00DE5436"/>
    <w:rsid w:val="00DE743F"/>
    <w:rsid w:val="00DF1997"/>
    <w:rsid w:val="00DF1BFB"/>
    <w:rsid w:val="00DF3DA6"/>
    <w:rsid w:val="00E003BD"/>
    <w:rsid w:val="00E02C83"/>
    <w:rsid w:val="00E06DA9"/>
    <w:rsid w:val="00E11576"/>
    <w:rsid w:val="00E41316"/>
    <w:rsid w:val="00E504CC"/>
    <w:rsid w:val="00E509E3"/>
    <w:rsid w:val="00E53E42"/>
    <w:rsid w:val="00E53EED"/>
    <w:rsid w:val="00E55618"/>
    <w:rsid w:val="00E720E1"/>
    <w:rsid w:val="00E75236"/>
    <w:rsid w:val="00E86792"/>
    <w:rsid w:val="00E90706"/>
    <w:rsid w:val="00E95C3D"/>
    <w:rsid w:val="00E9785E"/>
    <w:rsid w:val="00EA15C5"/>
    <w:rsid w:val="00EA7493"/>
    <w:rsid w:val="00EC417C"/>
    <w:rsid w:val="00EE38BF"/>
    <w:rsid w:val="00EF4599"/>
    <w:rsid w:val="00EF67EB"/>
    <w:rsid w:val="00F00A6E"/>
    <w:rsid w:val="00F1516E"/>
    <w:rsid w:val="00F16083"/>
    <w:rsid w:val="00F1758B"/>
    <w:rsid w:val="00F3055E"/>
    <w:rsid w:val="00F34744"/>
    <w:rsid w:val="00F35B87"/>
    <w:rsid w:val="00F40679"/>
    <w:rsid w:val="00F44773"/>
    <w:rsid w:val="00F5598D"/>
    <w:rsid w:val="00F578A0"/>
    <w:rsid w:val="00F64460"/>
    <w:rsid w:val="00F75FF2"/>
    <w:rsid w:val="00F90377"/>
    <w:rsid w:val="00F91EB6"/>
    <w:rsid w:val="00FB5A06"/>
    <w:rsid w:val="00FB6A31"/>
    <w:rsid w:val="00FC0B44"/>
    <w:rsid w:val="00FC24C9"/>
    <w:rsid w:val="00FE4EE5"/>
    <w:rsid w:val="00FF1315"/>
    <w:rsid w:val="265DDE73"/>
    <w:rsid w:val="3B739699"/>
    <w:rsid w:val="3EA30633"/>
    <w:rsid w:val="59FB5BAA"/>
    <w:rsid w:val="5A7F7213"/>
    <w:rsid w:val="5F7F7D37"/>
    <w:rsid w:val="798EC921"/>
    <w:rsid w:val="7BF754F0"/>
    <w:rsid w:val="7FFEE653"/>
    <w:rsid w:val="B3BBD872"/>
    <w:rsid w:val="B7FF4EF6"/>
    <w:rsid w:val="BEDF1568"/>
    <w:rsid w:val="BEFA5127"/>
    <w:rsid w:val="BF4B3AD3"/>
    <w:rsid w:val="BFFF2E91"/>
    <w:rsid w:val="CFE6FF6B"/>
    <w:rsid w:val="D8EBB2C9"/>
    <w:rsid w:val="DF7B0EEB"/>
    <w:rsid w:val="F3BFD6CE"/>
    <w:rsid w:val="F67AEB5B"/>
    <w:rsid w:val="F8F64712"/>
    <w:rsid w:val="F9ABB778"/>
    <w:rsid w:val="FFCA8E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footnote text"/>
    <w:basedOn w:val="1"/>
    <w:link w:val="22"/>
    <w:unhideWhenUsed/>
    <w:qFormat/>
    <w:uiPriority w:val="99"/>
    <w:pPr>
      <w:snapToGrid w:val="0"/>
      <w:jc w:val="left"/>
    </w:pPr>
    <w:rPr>
      <w:sz w:val="18"/>
      <w:szCs w:val="18"/>
    </w:rPr>
  </w:style>
  <w:style w:type="paragraph" w:styleId="3">
    <w:name w:val="Plain Text"/>
    <w:basedOn w:val="1"/>
    <w:next w:val="4"/>
    <w:unhideWhenUsed/>
    <w:qFormat/>
    <w:uiPriority w:val="99"/>
    <w:rPr>
      <w:rFonts w:ascii="宋体" w:hAnsi="Courier New" w:cs="Courier New"/>
    </w:rPr>
  </w:style>
  <w:style w:type="paragraph" w:styleId="4">
    <w:name w:val="header"/>
    <w:basedOn w:val="1"/>
    <w:next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Body Text Indent 2"/>
    <w:basedOn w:val="1"/>
    <w:qFormat/>
    <w:uiPriority w:val="99"/>
    <w:pPr>
      <w:spacing w:line="500" w:lineRule="exact"/>
      <w:ind w:firstLine="560" w:firstLineChars="200"/>
      <w:jc w:val="left"/>
    </w:pPr>
    <w:rPr>
      <w:rFonts w:ascii="Times New Roman" w:hAnsi="Times New Roman"/>
      <w:kern w:val="0"/>
      <w:sz w:val="24"/>
    </w:rPr>
  </w:style>
  <w:style w:type="paragraph" w:styleId="6">
    <w:name w:val="Balloon Text"/>
    <w:basedOn w:val="1"/>
    <w:link w:val="21"/>
    <w:uiPriority w:val="0"/>
    <w:rPr>
      <w:sz w:val="18"/>
      <w:szCs w:val="18"/>
    </w:rPr>
  </w:style>
  <w:style w:type="paragraph" w:styleId="7">
    <w:name w:val="footer"/>
    <w:basedOn w:val="1"/>
    <w:link w:val="14"/>
    <w:uiPriority w:val="99"/>
    <w:pPr>
      <w:tabs>
        <w:tab w:val="center" w:pos="4153"/>
        <w:tab w:val="right" w:pos="8306"/>
      </w:tabs>
      <w:snapToGrid w:val="0"/>
      <w:jc w:val="left"/>
    </w:pPr>
    <w:rPr>
      <w:sz w:val="18"/>
    </w:rPr>
  </w:style>
  <w:style w:type="paragraph" w:styleId="8">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9">
    <w:name w:val="Normal (Web)"/>
    <w:basedOn w:val="1"/>
    <w:qFormat/>
    <w:uiPriority w:val="99"/>
    <w:pPr>
      <w:widowControl/>
      <w:spacing w:before="100" w:beforeAutospacing="1" w:after="100" w:afterAutospacing="1"/>
      <w:jc w:val="left"/>
    </w:pPr>
    <w:rPr>
      <w:rFonts w:ascii="宋体" w:hAnsi="宋体" w:cs="宋体"/>
      <w:kern w:val="0"/>
      <w:sz w:val="24"/>
    </w:rPr>
  </w:style>
  <w:style w:type="table" w:styleId="11">
    <w:name w:val="Table Grid"/>
    <w:basedOn w:val="10"/>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qFormat/>
    <w:uiPriority w:val="22"/>
    <w:rPr>
      <w:b/>
      <w:bCs/>
    </w:rPr>
  </w:style>
  <w:style w:type="character" w:customStyle="1" w:styleId="14">
    <w:name w:val="页脚 字符"/>
    <w:link w:val="7"/>
    <w:uiPriority w:val="99"/>
    <w:rPr>
      <w:rFonts w:ascii="Calibri" w:hAnsi="Calibri"/>
      <w:kern w:val="2"/>
      <w:sz w:val="18"/>
      <w:szCs w:val="24"/>
    </w:rPr>
  </w:style>
  <w:style w:type="character" w:customStyle="1" w:styleId="15">
    <w:name w:val="font31"/>
    <w:uiPriority w:val="0"/>
    <w:rPr>
      <w:rFonts w:hint="eastAsia" w:ascii="仿宋_GB2312" w:eastAsia="仿宋_GB2312" w:cs="仿宋_GB2312"/>
      <w:b/>
      <w:color w:val="000000"/>
      <w:sz w:val="28"/>
      <w:szCs w:val="28"/>
      <w:u w:val="none"/>
    </w:rPr>
  </w:style>
  <w:style w:type="character" w:customStyle="1" w:styleId="16">
    <w:name w:val="font51"/>
    <w:uiPriority w:val="0"/>
    <w:rPr>
      <w:rFonts w:hint="eastAsia" w:ascii="仿宋_GB2312" w:eastAsia="仿宋_GB2312" w:cs="仿宋_GB2312"/>
      <w:color w:val="000000"/>
      <w:sz w:val="28"/>
      <w:szCs w:val="28"/>
      <w:u w:val="none"/>
    </w:rPr>
  </w:style>
  <w:style w:type="character" w:customStyle="1" w:styleId="17">
    <w:name w:val="font11"/>
    <w:uiPriority w:val="0"/>
    <w:rPr>
      <w:rFonts w:hint="eastAsia" w:ascii="仿宋_GB2312" w:eastAsia="仿宋_GB2312" w:cs="仿宋_GB2312"/>
      <w:b/>
      <w:color w:val="000000"/>
      <w:sz w:val="28"/>
      <w:szCs w:val="28"/>
      <w:u w:val="none"/>
    </w:rPr>
  </w:style>
  <w:style w:type="character" w:customStyle="1" w:styleId="18">
    <w:name w:val="font91"/>
    <w:uiPriority w:val="0"/>
    <w:rPr>
      <w:rFonts w:hint="eastAsia" w:ascii="仿宋_GB2312" w:eastAsia="仿宋_GB2312" w:cs="仿宋_GB2312"/>
      <w:color w:val="000000"/>
      <w:sz w:val="28"/>
      <w:szCs w:val="28"/>
      <w:u w:val="none"/>
    </w:rPr>
  </w:style>
  <w:style w:type="character" w:customStyle="1" w:styleId="19">
    <w:name w:val="font01"/>
    <w:uiPriority w:val="0"/>
    <w:rPr>
      <w:rFonts w:hint="eastAsia" w:ascii="仿宋_GB2312" w:eastAsia="仿宋_GB2312" w:cs="仿宋_GB2312"/>
      <w:strike/>
      <w:color w:val="000000"/>
      <w:sz w:val="28"/>
      <w:szCs w:val="28"/>
    </w:rPr>
  </w:style>
  <w:style w:type="character" w:customStyle="1" w:styleId="20">
    <w:name w:val="font21"/>
    <w:uiPriority w:val="0"/>
    <w:rPr>
      <w:rFonts w:hint="eastAsia" w:ascii="仿宋_GB2312" w:eastAsia="仿宋_GB2312" w:cs="仿宋_GB2312"/>
      <w:b/>
      <w:color w:val="000000"/>
      <w:sz w:val="28"/>
      <w:szCs w:val="28"/>
      <w:u w:val="none"/>
    </w:rPr>
  </w:style>
  <w:style w:type="character" w:customStyle="1" w:styleId="21">
    <w:name w:val="批注框文本 字符"/>
    <w:link w:val="6"/>
    <w:uiPriority w:val="0"/>
    <w:rPr>
      <w:rFonts w:ascii="Calibri" w:hAnsi="Calibri"/>
      <w:kern w:val="2"/>
      <w:sz w:val="18"/>
      <w:szCs w:val="18"/>
    </w:rPr>
  </w:style>
  <w:style w:type="character" w:customStyle="1" w:styleId="22">
    <w:name w:val="脚注文本 字符"/>
    <w:basedOn w:val="12"/>
    <w:link w:val="2"/>
    <w:uiPriority w:val="99"/>
    <w:rPr>
      <w:rFonts w:ascii="Calibri" w:hAnsi="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7FA6F7-A3C4-4741-AC69-76A525544441}">
  <ds:schemaRefs/>
</ds:datastoreItem>
</file>

<file path=docProps/app.xml><?xml version="1.0" encoding="utf-8"?>
<Properties xmlns="http://schemas.openxmlformats.org/officeDocument/2006/extended-properties" xmlns:vt="http://schemas.openxmlformats.org/officeDocument/2006/docPropsVTypes">
  <Template>Normal</Template>
  <Pages>13</Pages>
  <Words>869</Words>
  <Characters>4956</Characters>
  <Lines>41</Lines>
  <Paragraphs>11</Paragraphs>
  <TotalTime>21</TotalTime>
  <ScaleCrop>false</ScaleCrop>
  <LinksUpToDate>false</LinksUpToDate>
  <CharactersWithSpaces>5814</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2023-12-08T07:04:00Z</dcterms:created>
  <dc:creator>dodo</dc:creator>
  <cp:lastModifiedBy>兮杜若</cp:lastModifiedBy>
  <cp:lastPrinted>2023-12-06T01:09:00Z</cp:lastPrinted>
  <dcterms:modified xsi:type="dcterms:W3CDTF">2023-12-10T12:04:50Z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2F3DBC724ED242397AD32264F762141F</vt:lpwstr>
  </property>
</Properties>
</file>