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5" w:lineRule="exact"/>
        <w:rPr>
          <w:rFonts w:ascii="黑体" w:hAnsi="黑体" w:eastAsia="黑体" w:cs="黑体"/>
          <w:kern w:val="0"/>
          <w:sz w:val="32"/>
          <w:szCs w:val="32"/>
        </w:rPr>
      </w:pPr>
      <w:r>
        <w:rPr>
          <w:rFonts w:hint="eastAsia" w:ascii="黑体" w:hAnsi="黑体" w:eastAsia="黑体" w:cs="黑体"/>
          <w:kern w:val="0"/>
          <w:sz w:val="32"/>
          <w:szCs w:val="32"/>
        </w:rPr>
        <w:t>附件4</w:t>
      </w:r>
    </w:p>
    <w:p>
      <w:pPr>
        <w:adjustRightInd w:val="0"/>
        <w:snapToGrid w:val="0"/>
        <w:spacing w:line="585" w:lineRule="exact"/>
        <w:jc w:val="center"/>
        <w:rPr>
          <w:rFonts w:ascii="黑体" w:hAnsi="黑体" w:eastAsia="黑体" w:cs="黑体"/>
          <w:kern w:val="0"/>
          <w:sz w:val="36"/>
          <w:szCs w:val="32"/>
        </w:rPr>
      </w:pPr>
    </w:p>
    <w:p>
      <w:pPr>
        <w:adjustRightInd w:val="0"/>
        <w:snapToGrid w:val="0"/>
        <w:spacing w:line="585" w:lineRule="exact"/>
        <w:jc w:val="center"/>
        <w:rPr>
          <w:rFonts w:ascii="Tahoma" w:hAnsi="Tahoma" w:eastAsia="方正小标宋简体"/>
          <w:spacing w:val="-6"/>
          <w:kern w:val="0"/>
          <w:sz w:val="44"/>
          <w:szCs w:val="40"/>
        </w:rPr>
      </w:pPr>
      <w:bookmarkStart w:id="0" w:name="_GoBack"/>
      <w:r>
        <w:rPr>
          <w:rFonts w:hint="eastAsia" w:ascii="Tahoma" w:hAnsi="Tahoma" w:eastAsia="方正小标宋简体"/>
          <w:spacing w:val="-6"/>
          <w:kern w:val="0"/>
          <w:sz w:val="44"/>
          <w:szCs w:val="40"/>
        </w:rPr>
        <w:t>江西</w:t>
      </w:r>
      <w:r>
        <w:rPr>
          <w:rFonts w:ascii="Tahoma" w:hAnsi="Tahoma" w:eastAsia="方正小标宋简体"/>
          <w:spacing w:val="-6"/>
          <w:kern w:val="0"/>
          <w:sz w:val="44"/>
          <w:szCs w:val="40"/>
        </w:rPr>
        <w:t>省</w:t>
      </w:r>
      <w:r>
        <w:rPr>
          <w:rFonts w:hint="eastAsia" w:ascii="Tahoma" w:hAnsi="Tahoma" w:eastAsia="方正小标宋简体"/>
          <w:spacing w:val="-6"/>
          <w:kern w:val="0"/>
          <w:sz w:val="44"/>
          <w:szCs w:val="40"/>
        </w:rPr>
        <w:t>普通</w:t>
      </w:r>
      <w:r>
        <w:rPr>
          <w:rFonts w:ascii="Tahoma" w:hAnsi="Tahoma" w:eastAsia="方正小标宋简体"/>
          <w:spacing w:val="-6"/>
          <w:kern w:val="0"/>
          <w:sz w:val="44"/>
          <w:szCs w:val="40"/>
        </w:rPr>
        <w:t>本科高校</w:t>
      </w:r>
      <w:r>
        <w:rPr>
          <w:rFonts w:hint="eastAsia" w:ascii="Tahoma" w:hAnsi="Tahoma" w:eastAsia="方正小标宋简体"/>
          <w:spacing w:val="-6"/>
          <w:kern w:val="0"/>
          <w:sz w:val="44"/>
          <w:szCs w:val="40"/>
        </w:rPr>
        <w:t>现代</w:t>
      </w:r>
      <w:r>
        <w:rPr>
          <w:rFonts w:ascii="Tahoma" w:hAnsi="Tahoma" w:eastAsia="方正小标宋简体"/>
          <w:spacing w:val="-6"/>
          <w:kern w:val="0"/>
          <w:sz w:val="44"/>
          <w:szCs w:val="40"/>
        </w:rPr>
        <w:t>产业学院</w:t>
      </w:r>
      <w:r>
        <w:rPr>
          <w:rFonts w:hint="eastAsia" w:ascii="Tahoma" w:hAnsi="Tahoma" w:eastAsia="方正小标宋简体"/>
          <w:spacing w:val="-6"/>
          <w:kern w:val="0"/>
          <w:sz w:val="44"/>
          <w:szCs w:val="40"/>
        </w:rPr>
        <w:t>建设</w:t>
      </w:r>
      <w:r>
        <w:rPr>
          <w:rFonts w:ascii="Tahoma" w:hAnsi="Tahoma" w:eastAsia="方正小标宋简体"/>
          <w:spacing w:val="-6"/>
          <w:kern w:val="0"/>
          <w:sz w:val="44"/>
          <w:szCs w:val="40"/>
        </w:rPr>
        <w:t>指标</w:t>
      </w:r>
      <w:r>
        <w:rPr>
          <w:rFonts w:hint="eastAsia" w:ascii="Tahoma" w:hAnsi="Tahoma" w:eastAsia="方正小标宋简体"/>
          <w:spacing w:val="-6"/>
          <w:kern w:val="0"/>
          <w:sz w:val="44"/>
          <w:szCs w:val="40"/>
        </w:rPr>
        <w:t>体系</w:t>
      </w:r>
    </w:p>
    <w:bookmarkEnd w:id="0"/>
    <w:p>
      <w:pPr>
        <w:adjustRightInd w:val="0"/>
        <w:snapToGrid w:val="0"/>
        <w:spacing w:line="585" w:lineRule="exact"/>
        <w:jc w:val="center"/>
        <w:rPr>
          <w:rFonts w:hint="eastAsia" w:ascii="楷体_GB2312" w:hAnsi="Tahoma" w:eastAsia="楷体_GB2312"/>
          <w:kern w:val="0"/>
          <w:sz w:val="32"/>
          <w:szCs w:val="32"/>
        </w:rPr>
      </w:pPr>
      <w:r>
        <w:rPr>
          <w:rFonts w:hint="eastAsia" w:ascii="楷体_GB2312" w:hAnsi="Tahoma" w:eastAsia="楷体_GB2312"/>
          <w:kern w:val="0"/>
          <w:sz w:val="32"/>
          <w:szCs w:val="32"/>
        </w:rPr>
        <w:t>（试行）</w:t>
      </w:r>
    </w:p>
    <w:p>
      <w:pPr>
        <w:adjustRightInd w:val="0"/>
        <w:snapToGrid w:val="0"/>
        <w:spacing w:line="585" w:lineRule="exact"/>
        <w:jc w:val="center"/>
        <w:rPr>
          <w:rFonts w:ascii="Tahoma" w:hAnsi="Tahoma" w:eastAsia="方正小标宋简体"/>
          <w:kern w:val="0"/>
          <w:sz w:val="44"/>
          <w:szCs w:val="40"/>
        </w:rPr>
      </w:pPr>
    </w:p>
    <w:tbl>
      <w:tblPr>
        <w:tblStyle w:val="2"/>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571"/>
        <w:gridCol w:w="6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12" w:type="dxa"/>
            <w:noWrap w:val="0"/>
            <w:vAlign w:val="center"/>
          </w:tcPr>
          <w:p>
            <w:pPr>
              <w:adjustRightInd w:val="0"/>
              <w:snapToGrid w:val="0"/>
              <w:spacing w:line="300" w:lineRule="exact"/>
              <w:jc w:val="center"/>
              <w:rPr>
                <w:rFonts w:hint="eastAsia" w:ascii="黑体" w:hAnsi="黑体" w:eastAsia="黑体"/>
                <w:kern w:val="0"/>
                <w:sz w:val="24"/>
              </w:rPr>
            </w:pPr>
            <w:r>
              <w:rPr>
                <w:rFonts w:hint="eastAsia" w:ascii="黑体" w:hAnsi="黑体" w:eastAsia="黑体"/>
                <w:kern w:val="0"/>
                <w:sz w:val="24"/>
              </w:rPr>
              <w:t>一级指标</w:t>
            </w:r>
          </w:p>
        </w:tc>
        <w:tc>
          <w:tcPr>
            <w:tcW w:w="1571" w:type="dxa"/>
            <w:noWrap w:val="0"/>
            <w:vAlign w:val="center"/>
          </w:tcPr>
          <w:p>
            <w:pPr>
              <w:adjustRightInd w:val="0"/>
              <w:snapToGrid w:val="0"/>
              <w:spacing w:line="300" w:lineRule="exact"/>
              <w:jc w:val="center"/>
              <w:rPr>
                <w:rFonts w:hint="eastAsia" w:ascii="黑体" w:hAnsi="黑体" w:eastAsia="黑体"/>
                <w:kern w:val="0"/>
                <w:sz w:val="24"/>
              </w:rPr>
            </w:pPr>
            <w:r>
              <w:rPr>
                <w:rFonts w:hint="eastAsia" w:ascii="黑体" w:hAnsi="黑体" w:eastAsia="黑体"/>
                <w:kern w:val="0"/>
                <w:sz w:val="24"/>
              </w:rPr>
              <w:t>二级指标</w:t>
            </w:r>
          </w:p>
        </w:tc>
        <w:tc>
          <w:tcPr>
            <w:tcW w:w="6866" w:type="dxa"/>
            <w:noWrap w:val="0"/>
            <w:vAlign w:val="center"/>
          </w:tcPr>
          <w:p>
            <w:pPr>
              <w:adjustRightInd w:val="0"/>
              <w:snapToGrid w:val="0"/>
              <w:spacing w:line="300" w:lineRule="exact"/>
              <w:jc w:val="center"/>
              <w:rPr>
                <w:rFonts w:hint="eastAsia" w:ascii="黑体" w:hAnsi="黑体" w:eastAsia="黑体"/>
                <w:kern w:val="0"/>
                <w:sz w:val="24"/>
              </w:rPr>
            </w:pPr>
            <w:r>
              <w:rPr>
                <w:rFonts w:hint="eastAsia" w:ascii="黑体" w:hAnsi="黑体" w:eastAsia="黑体"/>
                <w:kern w:val="0"/>
                <w:sz w:val="24"/>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412" w:type="dxa"/>
            <w:vMerge w:val="restart"/>
            <w:noWrap w:val="0"/>
            <w:vAlign w:val="center"/>
          </w:tcPr>
          <w:p>
            <w:pPr>
              <w:adjustRightInd w:val="0"/>
              <w:snapToGrid w:val="0"/>
              <w:spacing w:line="300" w:lineRule="exact"/>
              <w:jc w:val="center"/>
              <w:rPr>
                <w:rFonts w:hint="eastAsia" w:ascii="仿宋_GB2312" w:eastAsia="仿宋_GB2312"/>
                <w:b/>
                <w:kern w:val="0"/>
                <w:sz w:val="24"/>
              </w:rPr>
            </w:pPr>
            <w:r>
              <w:rPr>
                <w:rFonts w:hint="eastAsia" w:ascii="仿宋_GB2312" w:eastAsia="仿宋_GB2312"/>
                <w:b/>
                <w:kern w:val="0"/>
                <w:sz w:val="24"/>
              </w:rPr>
              <w:t>1.产业学院的基本设立条件（12分）</w:t>
            </w: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1.1 产业学院的发展定位与设立要求（6分）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①产业学院定位符合江西省制造业重点产业链现代化建设“1269”行动计划（2023-2026年），建立紧密对接产业链、创新链的应用型学科专业体系；</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②至少依托一个省级及以上一流专业建设点；</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③重点项目独立组建且正式运行时间不少于六个月；</w:t>
            </w:r>
          </w:p>
          <w:p>
            <w:pPr>
              <w:adjustRightInd w:val="0"/>
              <w:snapToGrid w:val="0"/>
              <w:spacing w:line="300" w:lineRule="exact"/>
              <w:ind w:firstLine="240" w:firstLineChars="100"/>
              <w:rPr>
                <w:rFonts w:hint="eastAsia" w:ascii="仿宋_GB2312" w:eastAsia="仿宋_GB2312"/>
                <w:kern w:val="0"/>
                <w:sz w:val="24"/>
              </w:rPr>
            </w:pPr>
            <w:r>
              <w:rPr>
                <w:rFonts w:hint="eastAsia" w:ascii="仿宋_GB2312" w:eastAsia="仿宋_GB2312"/>
                <w:kern w:val="0"/>
                <w:sz w:val="24"/>
              </w:rPr>
              <w:t>培育项目独立组建且正式运行时间不少于三个月。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412" w:type="dxa"/>
            <w:vMerge w:val="continue"/>
            <w:noWrap w:val="0"/>
            <w:vAlign w:val="center"/>
          </w:tcPr>
          <w:p>
            <w:pPr>
              <w:adjustRightInd w:val="0"/>
              <w:snapToGrid w:val="0"/>
              <w:spacing w:line="300" w:lineRule="exact"/>
              <w:jc w:val="center"/>
              <w:rPr>
                <w:rFonts w:hint="eastAsia" w:ascii="仿宋_GB2312" w:eastAsia="仿宋_GB2312"/>
                <w:b/>
                <w:kern w:val="0"/>
                <w:sz w:val="24"/>
              </w:rPr>
            </w:pP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1.2 合作企业的资质与要求（6分）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hAnsi="宋体" w:eastAsia="仿宋_GB2312" w:cs="宋体"/>
                <w:kern w:val="0"/>
                <w:sz w:val="24"/>
              </w:rPr>
              <w:t>①</w:t>
            </w:r>
            <w:r>
              <w:rPr>
                <w:rFonts w:hint="eastAsia" w:ascii="仿宋_GB2312" w:eastAsia="仿宋_GB2312"/>
                <w:kern w:val="0"/>
                <w:sz w:val="24"/>
              </w:rPr>
              <w:t>合作企业应为“1269”行动计划中领军型企业，有省级以上重点研发机构。鼓励专业化的产业人才教育培训机构参与办学；</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②合作企业为技术创新示范企业、制造业单项冠军企业、专精特新企业、“小巨人”企业类型之一；或中央企业、国家企业；</w:t>
            </w:r>
          </w:p>
          <w:p>
            <w:pPr>
              <w:adjustRightInd w:val="0"/>
              <w:snapToGrid w:val="0"/>
              <w:spacing w:line="300" w:lineRule="exact"/>
              <w:rPr>
                <w:rFonts w:hint="eastAsia" w:ascii="仿宋_GB2312" w:eastAsia="仿宋_GB2312"/>
                <w:kern w:val="0"/>
                <w:sz w:val="24"/>
              </w:rPr>
            </w:pPr>
            <w:r>
              <w:rPr>
                <w:rFonts w:hint="eastAsia" w:ascii="仿宋_GB2312" w:hAnsi="宋体" w:eastAsia="仿宋_GB2312" w:cs="宋体"/>
                <w:kern w:val="0"/>
                <w:sz w:val="24"/>
              </w:rPr>
              <w:t>③</w:t>
            </w:r>
            <w:r>
              <w:rPr>
                <w:rFonts w:hint="eastAsia" w:ascii="仿宋_GB2312" w:eastAsia="仿宋_GB2312"/>
                <w:kern w:val="0"/>
                <w:sz w:val="24"/>
              </w:rPr>
              <w:t>校企之间具有合作项目和协同实训平台。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412" w:type="dxa"/>
            <w:vMerge w:val="restart"/>
            <w:noWrap w:val="0"/>
            <w:vAlign w:val="center"/>
          </w:tcPr>
          <w:p>
            <w:pPr>
              <w:adjustRightInd w:val="0"/>
              <w:snapToGrid w:val="0"/>
              <w:spacing w:line="300" w:lineRule="exact"/>
              <w:rPr>
                <w:rFonts w:hint="eastAsia" w:ascii="仿宋_GB2312" w:eastAsia="仿宋_GB2312"/>
                <w:b/>
                <w:kern w:val="0"/>
                <w:sz w:val="24"/>
              </w:rPr>
            </w:pPr>
            <w:r>
              <w:rPr>
                <w:rFonts w:hint="eastAsia" w:ascii="仿宋_GB2312" w:eastAsia="仿宋_GB2312"/>
                <w:b/>
                <w:kern w:val="0"/>
                <w:sz w:val="24"/>
              </w:rPr>
              <w:t>2.产业学院的管理体制及机制（14分）</w:t>
            </w: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2.1组织管理架构（6分）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hAnsi="宋体" w:eastAsia="仿宋_GB2312" w:cs="宋体"/>
                <w:kern w:val="0"/>
                <w:sz w:val="24"/>
              </w:rPr>
              <w:t>①</w:t>
            </w:r>
            <w:r>
              <w:rPr>
                <w:rFonts w:hint="eastAsia" w:ascii="仿宋_GB2312" w:eastAsia="仿宋_GB2312"/>
                <w:kern w:val="0"/>
                <w:sz w:val="24"/>
              </w:rPr>
              <w:t>学校将产业学院建设纳入改革与发展中长期规划，制定专项建设方案，赋予产业学院建设和运行管理一定的自主权限，并在政策制定、资源配置等方面予以倾斜；</w:t>
            </w:r>
          </w:p>
          <w:p>
            <w:pPr>
              <w:adjustRightInd w:val="0"/>
              <w:snapToGrid w:val="0"/>
              <w:spacing w:line="300" w:lineRule="exact"/>
              <w:rPr>
                <w:rFonts w:hint="eastAsia" w:ascii="仿宋_GB2312" w:eastAsia="仿宋_GB2312"/>
                <w:kern w:val="0"/>
                <w:sz w:val="24"/>
              </w:rPr>
            </w:pPr>
            <w:r>
              <w:rPr>
                <w:rFonts w:hint="eastAsia" w:ascii="仿宋_GB2312" w:hAnsi="宋体" w:eastAsia="仿宋_GB2312" w:cs="宋体"/>
                <w:kern w:val="0"/>
                <w:sz w:val="24"/>
              </w:rPr>
              <w:t>②</w:t>
            </w:r>
            <w:r>
              <w:rPr>
                <w:rFonts w:hint="eastAsia" w:ascii="仿宋_GB2312" w:eastAsia="仿宋_GB2312"/>
                <w:kern w:val="0"/>
                <w:sz w:val="24"/>
              </w:rPr>
              <w:t>建立由学校、地方政府、行业企业等多方参与的产业学院理事会（董事会、管委会）、专家指导委员会，行使学院重大事项决策权；</w:t>
            </w:r>
          </w:p>
          <w:p>
            <w:pPr>
              <w:adjustRightInd w:val="0"/>
              <w:snapToGrid w:val="0"/>
              <w:spacing w:line="300" w:lineRule="exact"/>
              <w:rPr>
                <w:rFonts w:hint="eastAsia" w:ascii="仿宋_GB2312" w:eastAsia="仿宋_GB2312"/>
                <w:kern w:val="0"/>
                <w:sz w:val="24"/>
              </w:rPr>
            </w:pPr>
            <w:r>
              <w:rPr>
                <w:rFonts w:hint="eastAsia" w:ascii="仿宋_GB2312" w:hAnsi="宋体" w:eastAsia="仿宋_GB2312" w:cs="宋体"/>
                <w:kern w:val="0"/>
                <w:sz w:val="24"/>
              </w:rPr>
              <w:t>③</w:t>
            </w:r>
            <w:r>
              <w:rPr>
                <w:rFonts w:hint="eastAsia" w:ascii="仿宋_GB2312" w:eastAsia="仿宋_GB2312"/>
                <w:kern w:val="0"/>
                <w:sz w:val="24"/>
              </w:rPr>
              <w:t>具备较完善的产业学院人事、财务、岗位设置、分类管理、考核评价等相关制度。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12" w:type="dxa"/>
            <w:vMerge w:val="continue"/>
            <w:noWrap w:val="0"/>
            <w:vAlign w:val="center"/>
          </w:tcPr>
          <w:p>
            <w:pPr>
              <w:widowControl/>
              <w:adjustRightInd w:val="0"/>
              <w:snapToGrid w:val="0"/>
              <w:spacing w:line="300" w:lineRule="exact"/>
              <w:jc w:val="center"/>
              <w:rPr>
                <w:rFonts w:hint="eastAsia" w:ascii="仿宋_GB2312" w:eastAsia="仿宋_GB2312"/>
                <w:b/>
                <w:kern w:val="0"/>
                <w:sz w:val="24"/>
              </w:rPr>
            </w:pP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2.2 教育教学管理（4分）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①建立专业动态调整机制，主动顺应新一轮科技革命、产业革命和新经济发展趋势；</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②有适应高水平应用型人才培养的教学管理制度和运行机制；</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③强化教学过程评价，探索考试制度和考核方式改革。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412" w:type="dxa"/>
            <w:vMerge w:val="continue"/>
            <w:noWrap w:val="0"/>
            <w:vAlign w:val="center"/>
          </w:tcPr>
          <w:p>
            <w:pPr>
              <w:adjustRightInd w:val="0"/>
              <w:snapToGrid w:val="0"/>
              <w:spacing w:line="300" w:lineRule="exact"/>
              <w:jc w:val="center"/>
              <w:rPr>
                <w:rFonts w:hint="eastAsia" w:ascii="仿宋_GB2312" w:eastAsia="仿宋_GB2312"/>
                <w:b/>
                <w:kern w:val="0"/>
                <w:sz w:val="24"/>
              </w:rPr>
            </w:pP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2.3管理运营团队（4分）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hAnsi="宋体" w:eastAsia="仿宋_GB2312" w:cs="宋体"/>
                <w:kern w:val="0"/>
                <w:sz w:val="24"/>
              </w:rPr>
              <w:t>①</w:t>
            </w:r>
            <w:r>
              <w:rPr>
                <w:rFonts w:hint="eastAsia" w:ascii="仿宋_GB2312" w:eastAsia="仿宋_GB2312"/>
                <w:kern w:val="0"/>
                <w:sz w:val="24"/>
              </w:rPr>
              <w:t>产业学院成立校政企多方共同组成的学院日常管理运营团队，合作企业专职管理人员占比不少于30%；</w:t>
            </w:r>
          </w:p>
          <w:p>
            <w:pPr>
              <w:adjustRightInd w:val="0"/>
              <w:snapToGrid w:val="0"/>
              <w:spacing w:line="300" w:lineRule="exact"/>
              <w:rPr>
                <w:rFonts w:hint="eastAsia" w:ascii="仿宋_GB2312" w:eastAsia="仿宋_GB2312"/>
                <w:kern w:val="0"/>
                <w:sz w:val="24"/>
              </w:rPr>
            </w:pPr>
            <w:r>
              <w:rPr>
                <w:rFonts w:hint="eastAsia" w:ascii="仿宋_GB2312" w:hAnsi="宋体" w:eastAsia="仿宋_GB2312" w:cs="宋体"/>
                <w:kern w:val="0"/>
                <w:sz w:val="24"/>
              </w:rPr>
              <w:t>②</w:t>
            </w:r>
            <w:r>
              <w:rPr>
                <w:rFonts w:hint="eastAsia" w:ascii="仿宋_GB2312" w:eastAsia="仿宋_GB2312"/>
                <w:kern w:val="0"/>
                <w:sz w:val="24"/>
              </w:rPr>
              <w:t>合作运营过程通畅、效果良好。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412" w:type="dxa"/>
            <w:vMerge w:val="restart"/>
            <w:noWrap w:val="0"/>
            <w:vAlign w:val="center"/>
          </w:tcPr>
          <w:p>
            <w:pPr>
              <w:adjustRightInd w:val="0"/>
              <w:snapToGrid w:val="0"/>
              <w:spacing w:line="300" w:lineRule="exact"/>
              <w:rPr>
                <w:rFonts w:hint="eastAsia" w:ascii="仿宋_GB2312" w:eastAsia="仿宋_GB2312"/>
                <w:b/>
                <w:kern w:val="0"/>
                <w:sz w:val="24"/>
              </w:rPr>
            </w:pPr>
            <w:r>
              <w:rPr>
                <w:rFonts w:hint="eastAsia" w:ascii="仿宋_GB2312" w:eastAsia="仿宋_GB2312"/>
                <w:b/>
                <w:kern w:val="0"/>
                <w:sz w:val="24"/>
              </w:rPr>
              <w:t>3.软硬件资源投入及支撑条件（18分）</w:t>
            </w: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3.1 高校软硬件资源投入（6分）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①学校每年为产业学院运行提供必需的人力资源、专项经费等基本保障。重点产业学院不低于100万/年；</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②学</w:t>
            </w:r>
            <w:r>
              <w:rPr>
                <w:rFonts w:hint="eastAsia" w:ascii="仿宋_GB2312" w:eastAsia="仿宋_GB2312"/>
                <w:spacing w:val="-6"/>
                <w:kern w:val="0"/>
                <w:sz w:val="24"/>
              </w:rPr>
              <w:t>校为产业学院发展提供良好的办学条件，包括相对独立的教学场所、实验室等，有独立的开展产学研合作的实习实训基地。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412" w:type="dxa"/>
            <w:vMerge w:val="continue"/>
            <w:noWrap w:val="0"/>
            <w:vAlign w:val="center"/>
          </w:tcPr>
          <w:p>
            <w:pPr>
              <w:adjustRightInd w:val="0"/>
              <w:snapToGrid w:val="0"/>
              <w:spacing w:line="300" w:lineRule="exact"/>
              <w:jc w:val="center"/>
              <w:rPr>
                <w:rFonts w:hint="eastAsia" w:ascii="仿宋_GB2312" w:eastAsia="仿宋_GB2312"/>
                <w:b/>
                <w:kern w:val="0"/>
                <w:sz w:val="24"/>
              </w:rPr>
            </w:pP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3.2 合作企业软硬件资源投入（6分）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①合作企业应围绕产业学院教学资源开发、双师型队伍建设、实训平台建设等方面进行必要的投入；</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②应将行业最新的实验仪器设备、企业项目案例、课程资源等软硬件资源投入产业学院教育教学过程；</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③合</w:t>
            </w:r>
            <w:r>
              <w:rPr>
                <w:rFonts w:hint="eastAsia" w:ascii="仿宋_GB2312" w:eastAsia="仿宋_GB2312"/>
                <w:spacing w:val="-6"/>
                <w:kern w:val="0"/>
                <w:sz w:val="24"/>
              </w:rPr>
              <w:t>作单位中领军企业应具备与培养规模相匹配的学习实训基地。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412" w:type="dxa"/>
            <w:vMerge w:val="continue"/>
            <w:noWrap w:val="0"/>
            <w:vAlign w:val="center"/>
          </w:tcPr>
          <w:p>
            <w:pPr>
              <w:adjustRightInd w:val="0"/>
              <w:snapToGrid w:val="0"/>
              <w:spacing w:line="300" w:lineRule="exact"/>
              <w:jc w:val="center"/>
              <w:rPr>
                <w:rFonts w:hint="eastAsia" w:ascii="仿宋_GB2312" w:eastAsia="仿宋_GB2312"/>
                <w:b/>
                <w:kern w:val="0"/>
                <w:sz w:val="24"/>
              </w:rPr>
            </w:pP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3.3 地方政府支持（6分）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①地方政府提供专项政策和专项资金支持；或为现代产业学院提供办学场所；</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②地方政府深度参与产业学院建设与管理。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412" w:type="dxa"/>
            <w:vMerge w:val="restart"/>
            <w:noWrap w:val="0"/>
            <w:vAlign w:val="center"/>
          </w:tcPr>
          <w:p>
            <w:pPr>
              <w:adjustRightInd w:val="0"/>
              <w:snapToGrid w:val="0"/>
              <w:spacing w:line="300" w:lineRule="exact"/>
              <w:rPr>
                <w:rFonts w:hint="eastAsia" w:ascii="仿宋_GB2312" w:eastAsia="仿宋_GB2312"/>
                <w:b/>
                <w:kern w:val="0"/>
                <w:sz w:val="24"/>
              </w:rPr>
            </w:pPr>
            <w:r>
              <w:rPr>
                <w:rFonts w:hint="eastAsia" w:ascii="仿宋_GB2312" w:eastAsia="仿宋_GB2312"/>
                <w:b/>
                <w:kern w:val="0"/>
                <w:sz w:val="24"/>
              </w:rPr>
              <w:t>4.人才培养与教学改革（28分）</w:t>
            </w: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4.1 人才培养要求（5分）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①坚持立德树人根本任务，校政企围绕产业人才需求，按照产业链对知识能力素质要求，共同制定专业建设方案、共同构建实践教学体系；</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②校企联合制定的人才培养方案体现产教融合特色以及应用型人才培养要求；</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③将创新创业教育融入产业学院专业教学体系，实现创新创业目标在素质教育、专业课程、教学评价等方面的有效融合。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1412" w:type="dxa"/>
            <w:vMerge w:val="continue"/>
            <w:noWrap w:val="0"/>
            <w:vAlign w:val="center"/>
          </w:tcPr>
          <w:p>
            <w:pPr>
              <w:adjustRightInd w:val="0"/>
              <w:snapToGrid w:val="0"/>
              <w:spacing w:line="300" w:lineRule="exact"/>
              <w:jc w:val="center"/>
              <w:rPr>
                <w:rFonts w:hint="eastAsia" w:ascii="仿宋_GB2312" w:eastAsia="仿宋_GB2312"/>
                <w:kern w:val="0"/>
                <w:sz w:val="24"/>
              </w:rPr>
            </w:pP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4.2 教学资源建设（6分）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①校企双方根据产业发展需求重构课程体系、开发新型课程、更新教学内容；</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②校企双方配备专职教研团队进行课程教学资源、教材等研发；</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③校企双方共同推进创新创业训练项目或实习实训内容的开发。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1412" w:type="dxa"/>
            <w:vMerge w:val="continue"/>
            <w:noWrap w:val="0"/>
            <w:vAlign w:val="center"/>
          </w:tcPr>
          <w:p>
            <w:pPr>
              <w:adjustRightInd w:val="0"/>
              <w:snapToGrid w:val="0"/>
              <w:spacing w:line="300" w:lineRule="exact"/>
              <w:jc w:val="center"/>
              <w:rPr>
                <w:rFonts w:hint="eastAsia" w:ascii="仿宋_GB2312" w:eastAsia="仿宋_GB2312"/>
                <w:kern w:val="0"/>
                <w:sz w:val="24"/>
              </w:rPr>
            </w:pP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4.3 教学方法创新（5分）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①创新教学模式与方法，推进项目式、案例式教学与团队学习；</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②根据学生认知规律和接受特点，推进课程学习与实习实训相融合，配备学校和企业双导师；</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③教学计划中安排实习实践的时间累计不少于1学年，实践教学学分不少于总学分的30%。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1412" w:type="dxa"/>
            <w:vMerge w:val="restart"/>
            <w:noWrap w:val="0"/>
            <w:vAlign w:val="center"/>
          </w:tcPr>
          <w:p>
            <w:pPr>
              <w:adjustRightInd w:val="0"/>
              <w:snapToGrid w:val="0"/>
              <w:spacing w:line="300" w:lineRule="exact"/>
              <w:rPr>
                <w:rFonts w:hint="eastAsia" w:ascii="仿宋_GB2312" w:eastAsia="仿宋_GB2312"/>
                <w:b/>
                <w:kern w:val="0"/>
                <w:sz w:val="24"/>
              </w:rPr>
            </w:pPr>
            <w:r>
              <w:rPr>
                <w:rFonts w:hint="eastAsia" w:ascii="仿宋_GB2312" w:eastAsia="仿宋_GB2312"/>
                <w:b/>
                <w:kern w:val="0"/>
                <w:sz w:val="24"/>
              </w:rPr>
              <w:t>4.人才培养与教学改革（28分）</w:t>
            </w: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4.4教学队伍建设（6分）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①建立校企人力资源共建共享机制，支持学校教师和企业技术专家双向流动；</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②有一支满足教学需要的高素质“双师型”教师队伍，设有产业教授岗；打造高素质“双师型”教学团队，建立产业学院教师工作室和高素质“双师型”教师培养培训基地；</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③合作企业拥有相关专业方向的师资团队，企业师资数量应与学生培养规模匹配（生师比≤16:1）；</w:t>
            </w:r>
          </w:p>
          <w:p>
            <w:pPr>
              <w:adjustRightInd w:val="0"/>
              <w:snapToGrid w:val="0"/>
              <w:spacing w:line="300" w:lineRule="exact"/>
              <w:rPr>
                <w:rFonts w:hint="eastAsia" w:ascii="仿宋_GB2312" w:hAnsi="Calibri" w:eastAsia="仿宋_GB2312"/>
                <w:sz w:val="24"/>
              </w:rPr>
            </w:pPr>
            <w:r>
              <w:rPr>
                <w:rFonts w:hint="eastAsia" w:ascii="仿宋_GB2312" w:eastAsia="仿宋_GB2312"/>
                <w:kern w:val="0"/>
                <w:sz w:val="24"/>
              </w:rPr>
              <w:t>④支持企业技术和管理人才到高校任教，有计划地派遣相关专任教师到行业企业挂职工作和实践锻炼。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412" w:type="dxa"/>
            <w:vMerge w:val="continue"/>
            <w:noWrap w:val="0"/>
            <w:vAlign w:val="center"/>
          </w:tcPr>
          <w:p>
            <w:pPr>
              <w:adjustRightInd w:val="0"/>
              <w:snapToGrid w:val="0"/>
              <w:spacing w:line="300" w:lineRule="exact"/>
              <w:jc w:val="center"/>
              <w:rPr>
                <w:rFonts w:hint="eastAsia" w:ascii="仿宋_GB2312" w:eastAsia="仿宋_GB2312"/>
                <w:kern w:val="0"/>
                <w:sz w:val="24"/>
              </w:rPr>
            </w:pP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4.5 经费保障情况（6分）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①高校应统筹企业和地方财政投入等经费建设产业学院，设立产业学院专项资金以保障产业学院的正常运行；</w:t>
            </w:r>
          </w:p>
          <w:p>
            <w:pPr>
              <w:adjustRightInd w:val="0"/>
              <w:snapToGrid w:val="0"/>
              <w:spacing w:line="300" w:lineRule="exact"/>
              <w:rPr>
                <w:rFonts w:hint="eastAsia" w:ascii="仿宋_GB2312" w:hAnsi="Calibri" w:eastAsia="仿宋_GB2312"/>
                <w:sz w:val="24"/>
              </w:rPr>
            </w:pPr>
            <w:r>
              <w:rPr>
                <w:rFonts w:hint="eastAsia" w:ascii="仿宋_GB2312" w:eastAsia="仿宋_GB2312"/>
                <w:kern w:val="0"/>
                <w:sz w:val="24"/>
              </w:rPr>
              <w:t>②地方政府和企业有较大力度的投入（除资金投入以外，也可以行业最新的实验仪器设备、企业项目案例、课程资源、实习补贴等软硬件资源的形式进行投入）。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412" w:type="dxa"/>
            <w:vMerge w:val="restart"/>
            <w:noWrap w:val="0"/>
            <w:vAlign w:val="center"/>
          </w:tcPr>
          <w:p>
            <w:pPr>
              <w:adjustRightInd w:val="0"/>
              <w:snapToGrid w:val="0"/>
              <w:spacing w:line="300" w:lineRule="exact"/>
              <w:rPr>
                <w:rFonts w:hint="eastAsia" w:ascii="仿宋_GB2312" w:eastAsia="仿宋_GB2312"/>
                <w:b/>
                <w:kern w:val="0"/>
                <w:sz w:val="24"/>
              </w:rPr>
            </w:pPr>
            <w:r>
              <w:rPr>
                <w:rFonts w:hint="eastAsia" w:ascii="仿宋_GB2312" w:eastAsia="仿宋_GB2312"/>
                <w:b/>
                <w:kern w:val="0"/>
                <w:sz w:val="24"/>
              </w:rPr>
              <w:t>5.产学研合作成效（12分）</w:t>
            </w: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5.1 产学研合作专业建设（4分）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①大力推动产业学院内部科教融合，有省级以上科研平台服务于教学，向本科生开放，鼓励学生参与科研活动，将产业发展成果、研究成果及时引入专业教学内容；</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②组织开展产学研合作的理论与实践研究，促进产学研合作可持续发展。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412" w:type="dxa"/>
            <w:vMerge w:val="continue"/>
            <w:noWrap w:val="0"/>
            <w:vAlign w:val="center"/>
          </w:tcPr>
          <w:p>
            <w:pPr>
              <w:adjustRightInd w:val="0"/>
              <w:snapToGrid w:val="0"/>
              <w:spacing w:line="300" w:lineRule="exact"/>
              <w:jc w:val="center"/>
              <w:rPr>
                <w:rFonts w:hint="eastAsia" w:ascii="仿宋_GB2312" w:eastAsia="仿宋_GB2312"/>
                <w:kern w:val="0"/>
                <w:sz w:val="24"/>
              </w:rPr>
            </w:pP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5.2 产学研合作科技研发（4分）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①共建服务地方特色产业的技术研发中心、联合实验室等，有效支撑应用型人才培养；</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②联合开展企业项目攻关、产品技术研发、项目孵化和成果转化等工作，促进科技成果转化和产业化。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412" w:type="dxa"/>
            <w:vMerge w:val="continue"/>
            <w:noWrap w:val="0"/>
            <w:vAlign w:val="center"/>
          </w:tcPr>
          <w:p>
            <w:pPr>
              <w:widowControl/>
              <w:adjustRightInd w:val="0"/>
              <w:snapToGrid w:val="0"/>
              <w:spacing w:line="300" w:lineRule="exact"/>
              <w:jc w:val="center"/>
              <w:rPr>
                <w:rFonts w:hint="eastAsia" w:ascii="仿宋_GB2312" w:eastAsia="仿宋_GB2312"/>
                <w:kern w:val="0"/>
                <w:sz w:val="24"/>
              </w:rPr>
            </w:pP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5.3 产学研合作实践教学（4分）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①行业企业将技术革新项目作为大学生创新创业训练和毕业设计（论文）的课题来源，安排企业导师进行全程指导，实行真题真做；</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②共建共享集实践教学、科技研发、培训服务等多位一体的实习实训平台，营造真实生产和技术开发工作环境。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12" w:type="dxa"/>
            <w:vMerge w:val="restart"/>
            <w:noWrap w:val="0"/>
            <w:vAlign w:val="center"/>
          </w:tcPr>
          <w:p>
            <w:pPr>
              <w:adjustRightInd w:val="0"/>
              <w:snapToGrid w:val="0"/>
              <w:spacing w:line="300" w:lineRule="exact"/>
              <w:rPr>
                <w:rFonts w:hint="eastAsia" w:ascii="仿宋_GB2312" w:eastAsia="仿宋_GB2312"/>
                <w:b/>
                <w:kern w:val="0"/>
                <w:sz w:val="24"/>
              </w:rPr>
            </w:pPr>
            <w:r>
              <w:rPr>
                <w:rFonts w:hint="eastAsia" w:ascii="仿宋_GB2312" w:eastAsia="仿宋_GB2312"/>
                <w:b/>
                <w:kern w:val="0"/>
                <w:sz w:val="24"/>
              </w:rPr>
              <w:t>6.人才培养成效（16分）</w:t>
            </w: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6.1 教育教学成果（8分）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①有国家级、省级教育教学改革成果；</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②有教育部产教融合或“四新”研究与实践项目立项及成果；</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③有省级以上教改项目立项及成果（含省级以上人才培养基地）；</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④有省级以上一流课程和优秀教材（校企联合开发）等教学成果。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412" w:type="dxa"/>
            <w:vMerge w:val="continue"/>
            <w:noWrap w:val="0"/>
            <w:vAlign w:val="center"/>
          </w:tcPr>
          <w:p>
            <w:pPr>
              <w:adjustRightInd w:val="0"/>
              <w:snapToGrid w:val="0"/>
              <w:spacing w:line="300" w:lineRule="exact"/>
              <w:rPr>
                <w:rFonts w:hint="eastAsia" w:ascii="仿宋_GB2312" w:eastAsia="仿宋_GB2312"/>
                <w:b/>
                <w:kern w:val="0"/>
                <w:sz w:val="24"/>
              </w:rPr>
            </w:pPr>
          </w:p>
        </w:tc>
        <w:tc>
          <w:tcPr>
            <w:tcW w:w="1571"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6.1 人才培养质量（8分）</w:t>
            </w:r>
          </w:p>
        </w:tc>
        <w:tc>
          <w:tcPr>
            <w:tcW w:w="6866" w:type="dxa"/>
            <w:noWrap w:val="0"/>
            <w:vAlign w:val="center"/>
          </w:tcPr>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①产业学院依托建设的专业点通过专业认证或专业评估；</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②教学质量保障制度建设完善，运行机制与效果良好；</w:t>
            </w:r>
          </w:p>
          <w:p>
            <w:pPr>
              <w:adjustRightInd w:val="0"/>
              <w:snapToGrid w:val="0"/>
              <w:spacing w:line="300" w:lineRule="exact"/>
              <w:rPr>
                <w:rFonts w:hint="eastAsia" w:ascii="仿宋_GB2312" w:eastAsia="仿宋_GB2312"/>
                <w:kern w:val="0"/>
                <w:sz w:val="24"/>
              </w:rPr>
            </w:pPr>
            <w:r>
              <w:rPr>
                <w:rFonts w:hint="eastAsia" w:ascii="仿宋_GB2312" w:eastAsia="仿宋_GB2312"/>
                <w:kern w:val="0"/>
                <w:sz w:val="24"/>
              </w:rPr>
              <w:t>③依托专业的优秀毕业生成为行业领军人物、技术骨干和中层管理人员比例高；</w:t>
            </w:r>
          </w:p>
          <w:p>
            <w:pPr>
              <w:adjustRightInd w:val="0"/>
              <w:snapToGrid w:val="0"/>
              <w:spacing w:line="300" w:lineRule="exact"/>
              <w:rPr>
                <w:rFonts w:hint="eastAsia" w:ascii="仿宋_GB2312" w:hAnsi="宋体" w:eastAsia="仿宋_GB2312" w:cs="宋体"/>
                <w:kern w:val="0"/>
                <w:sz w:val="24"/>
              </w:rPr>
            </w:pPr>
            <w:r>
              <w:rPr>
                <w:rFonts w:hint="eastAsia" w:ascii="仿宋_GB2312" w:eastAsia="仿宋_GB2312"/>
                <w:kern w:val="0"/>
                <w:sz w:val="24"/>
              </w:rPr>
              <w:t>④依托专业就业率、留赣率高。</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E10F9"/>
    <w:rsid w:val="4B7E1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2023-10-07T08:26:00Z</dcterms:created>
  <dc:creator>Lenovo</dc:creator>
  <cp:lastModifiedBy>Lenovo</cp:lastModifiedBy>
  <dcterms:modified xsi:type="dcterms:W3CDTF">2023-10-07T08:29:52Z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2052-11.8.2.10221</vt:lpwstr>
  </property>
</Properties>
</file>